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DE" w:rsidRPr="00770171" w:rsidRDefault="00B571BA">
      <w:pPr>
        <w:jc w:val="center"/>
        <w:rPr>
          <w:rFonts w:ascii="宋体" w:hAnsi="宋体"/>
          <w:b/>
          <w:sz w:val="40"/>
          <w:szCs w:val="40"/>
        </w:rPr>
      </w:pPr>
      <w:r w:rsidRPr="00770171">
        <w:rPr>
          <w:rFonts w:ascii="宋体" w:hAnsi="宋体" w:hint="eastAsia"/>
          <w:b/>
          <w:sz w:val="40"/>
          <w:szCs w:val="40"/>
        </w:rPr>
        <w:t>卓越财务总监高级研修班</w:t>
      </w:r>
    </w:p>
    <w:p w:rsidR="003B68DE" w:rsidRPr="00770171" w:rsidRDefault="00B571BA">
      <w:pPr>
        <w:spacing w:line="420" w:lineRule="auto"/>
        <w:ind w:left="964" w:right="300" w:hangingChars="300" w:hanging="964"/>
        <w:jc w:val="right"/>
        <w:rPr>
          <w:rFonts w:ascii="宋体" w:hAnsi="宋体"/>
          <w:b/>
          <w:color w:val="FF0000"/>
          <w:sz w:val="32"/>
          <w:szCs w:val="32"/>
        </w:rPr>
      </w:pPr>
      <w:r w:rsidRPr="00770171">
        <w:rPr>
          <w:rFonts w:ascii="宋体" w:hAnsi="宋体" w:hint="eastAsia"/>
          <w:b/>
          <w:color w:val="FF0000"/>
          <w:sz w:val="32"/>
          <w:szCs w:val="32"/>
        </w:rPr>
        <w:t>——从优秀到卓越的实战提升平台！</w:t>
      </w:r>
    </w:p>
    <w:p w:rsidR="003B68DE" w:rsidRPr="00770171" w:rsidRDefault="00B571BA">
      <w:pPr>
        <w:jc w:val="left"/>
        <w:rPr>
          <w:rFonts w:ascii="宋体" w:hAnsi="宋体"/>
          <w:b/>
          <w:sz w:val="28"/>
          <w:szCs w:val="28"/>
        </w:rPr>
      </w:pPr>
      <w:r w:rsidRPr="00770171">
        <w:rPr>
          <w:rFonts w:ascii="宋体" w:hAnsi="宋体" w:hint="eastAsia"/>
          <w:b/>
          <w:sz w:val="28"/>
          <w:szCs w:val="28"/>
        </w:rPr>
        <w:t>【项目简介】</w:t>
      </w:r>
    </w:p>
    <w:p w:rsidR="003B68DE" w:rsidRPr="00770171" w:rsidRDefault="00B571BA">
      <w:pPr>
        <w:spacing w:line="360" w:lineRule="auto"/>
        <w:ind w:leftChars="85" w:left="178" w:firstLineChars="200" w:firstLine="480"/>
        <w:rPr>
          <w:rFonts w:ascii="宋体" w:hAnsi="宋体" w:cs="新宋体"/>
          <w:sz w:val="24"/>
        </w:rPr>
      </w:pPr>
      <w:r w:rsidRPr="00770171">
        <w:rPr>
          <w:rFonts w:ascii="宋体" w:hAnsi="宋体" w:cs="新宋体" w:hint="eastAsia"/>
          <w:sz w:val="24"/>
        </w:rPr>
        <w:t>新时代首席财务官也叫财务总监CFO，意指首席财政官或财务总监，是现代公司中最重要、最有价值的顶尖管理职位之一。</w:t>
      </w:r>
    </w:p>
    <w:p w:rsidR="003B68DE" w:rsidRPr="00770171" w:rsidRDefault="00B571BA">
      <w:pPr>
        <w:spacing w:line="360" w:lineRule="auto"/>
        <w:ind w:leftChars="85" w:left="178" w:firstLineChars="200" w:firstLine="480"/>
        <w:rPr>
          <w:rFonts w:ascii="宋体" w:hAnsi="宋体" w:cs="新宋体"/>
          <w:sz w:val="24"/>
        </w:rPr>
      </w:pPr>
      <w:r w:rsidRPr="00770171">
        <w:rPr>
          <w:rFonts w:ascii="宋体" w:hAnsi="宋体" w:cs="新宋体" w:hint="eastAsia"/>
          <w:sz w:val="24"/>
        </w:rPr>
        <w:t>随着经济发展和全球化的深入，未来的财务总监（CFO），要承担更重要的职责就必须不断扩宽自己的眼界。在企业运营发展的变革阶段CFO起着重要作用，广泛地参与到资本运作、员工薪酬计划、战略决策等角色中去。同时CFO还需积极推动企业价值创造，并有效与投资者进行沟通。</w:t>
      </w:r>
    </w:p>
    <w:p w:rsidR="003B68DE" w:rsidRPr="00770171" w:rsidRDefault="00B571BA">
      <w:pPr>
        <w:spacing w:line="360" w:lineRule="auto"/>
        <w:ind w:firstLineChars="250" w:firstLine="600"/>
        <w:rPr>
          <w:rFonts w:ascii="宋体" w:hAnsi="宋体" w:cs="新宋体"/>
          <w:sz w:val="24"/>
        </w:rPr>
      </w:pPr>
      <w:r w:rsidRPr="00770171">
        <w:rPr>
          <w:rFonts w:ascii="宋体" w:hAnsi="宋体" w:cs="新宋体" w:hint="eastAsia"/>
          <w:sz w:val="24"/>
        </w:rPr>
        <w:t>国家CIMS中心根据多年办学经验及企业实际调查研究后，推出全面系统的“卓越财务总监高级实战研修班”，以现代信息技术手段为支撑，从战略的高度看财务管理的问题 ；运用公司治理与财务运营等方面的知识，对企业的风险要进行有效的控制与防范；协助企业管理者掌舵企业未来发展的方向。</w:t>
      </w:r>
    </w:p>
    <w:p w:rsidR="003B68DE" w:rsidRPr="00770171" w:rsidRDefault="00B571BA">
      <w:pPr>
        <w:spacing w:line="360" w:lineRule="auto"/>
        <w:ind w:firstLineChars="250" w:firstLine="600"/>
        <w:rPr>
          <w:rFonts w:ascii="宋体" w:hAnsi="宋体" w:cs="新宋体"/>
          <w:sz w:val="24"/>
        </w:rPr>
      </w:pPr>
      <w:r w:rsidRPr="00770171">
        <w:rPr>
          <w:rFonts w:ascii="宋体" w:hAnsi="宋体" w:cs="新宋体" w:hint="eastAsia"/>
          <w:sz w:val="24"/>
        </w:rPr>
        <w:t>卓越的财务管理，是企业进行的另一种隐形管理，是企业决策的最终依据</w:t>
      </w:r>
      <w:r w:rsidRPr="00770171">
        <w:rPr>
          <w:rFonts w:ascii="宋体" w:hAnsi="宋体" w:cs="新宋体"/>
          <w:sz w:val="24"/>
        </w:rPr>
        <w:t>……</w:t>
      </w:r>
    </w:p>
    <w:p w:rsidR="003B68DE" w:rsidRPr="00770171" w:rsidRDefault="00B571BA">
      <w:pPr>
        <w:jc w:val="left"/>
        <w:rPr>
          <w:rFonts w:ascii="宋体" w:hAnsi="宋体" w:cs="黑体"/>
          <w:color w:val="FF0000"/>
          <w:sz w:val="28"/>
          <w:szCs w:val="28"/>
        </w:rPr>
      </w:pPr>
      <w:r w:rsidRPr="00770171">
        <w:rPr>
          <w:rFonts w:ascii="宋体" w:hAnsi="宋体" w:hint="eastAsia"/>
          <w:b/>
          <w:sz w:val="28"/>
          <w:szCs w:val="28"/>
        </w:rPr>
        <w:t>【学习收益】</w:t>
      </w:r>
      <w:r w:rsidRPr="00770171">
        <w:rPr>
          <w:rFonts w:ascii="宋体" w:hAnsi="宋体" w:cs="黑体"/>
          <w:color w:val="FF0000"/>
          <w:sz w:val="28"/>
          <w:szCs w:val="28"/>
        </w:rPr>
        <w:t xml:space="preserve"> </w:t>
      </w:r>
    </w:p>
    <w:p w:rsidR="003B68DE" w:rsidRPr="00770171" w:rsidRDefault="00B571BA">
      <w:pPr>
        <w:spacing w:line="360" w:lineRule="auto"/>
        <w:ind w:leftChars="85" w:left="178" w:firstLineChars="200" w:firstLine="480"/>
        <w:rPr>
          <w:rFonts w:ascii="宋体" w:hAnsi="宋体" w:cs="新宋体"/>
          <w:sz w:val="24"/>
        </w:rPr>
      </w:pPr>
      <w:r w:rsidRPr="00770171">
        <w:rPr>
          <w:rFonts w:ascii="宋体" w:hAnsi="宋体" w:cs="新宋体" w:hint="eastAsia"/>
          <w:sz w:val="24"/>
        </w:rPr>
        <w:t>获取前沿财务发展趋势，规避业务投资风险，打造优秀财务团队，为企业创造更大价值！</w:t>
      </w:r>
    </w:p>
    <w:p w:rsidR="003B68DE" w:rsidRPr="00770171" w:rsidRDefault="00B571BA">
      <w:pPr>
        <w:jc w:val="left"/>
        <w:rPr>
          <w:rFonts w:ascii="宋体" w:hAnsi="宋体"/>
          <w:b/>
          <w:sz w:val="28"/>
          <w:szCs w:val="28"/>
        </w:rPr>
      </w:pPr>
      <w:r w:rsidRPr="00770171">
        <w:rPr>
          <w:rFonts w:ascii="宋体" w:hAnsi="宋体" w:hint="eastAsia"/>
          <w:b/>
          <w:sz w:val="28"/>
          <w:szCs w:val="28"/>
        </w:rPr>
        <w:t>【招生对象】</w:t>
      </w:r>
    </w:p>
    <w:p w:rsidR="003B68DE" w:rsidRPr="00770171" w:rsidRDefault="00B571BA">
      <w:pPr>
        <w:numPr>
          <w:ilvl w:val="1"/>
          <w:numId w:val="1"/>
        </w:numPr>
        <w:spacing w:line="380" w:lineRule="exact"/>
        <w:rPr>
          <w:rFonts w:ascii="宋体" w:hAnsi="宋体" w:cs="Arial"/>
          <w:color w:val="000000"/>
          <w:sz w:val="24"/>
        </w:rPr>
      </w:pPr>
      <w:r w:rsidRPr="00770171">
        <w:rPr>
          <w:rFonts w:ascii="宋体" w:hAnsi="宋体" w:cs="Arial" w:hint="eastAsia"/>
          <w:sz w:val="24"/>
        </w:rPr>
        <w:t>企业董事长、总经理、副总等高级管理者（了解财务运作，透析财务本质）</w:t>
      </w:r>
    </w:p>
    <w:p w:rsidR="003B68DE" w:rsidRPr="00770171" w:rsidRDefault="00B571BA">
      <w:pPr>
        <w:numPr>
          <w:ilvl w:val="1"/>
          <w:numId w:val="1"/>
        </w:numPr>
        <w:spacing w:line="380" w:lineRule="exact"/>
        <w:rPr>
          <w:rFonts w:ascii="宋体" w:hAnsi="宋体" w:cs="Arial"/>
          <w:color w:val="000000"/>
          <w:sz w:val="24"/>
        </w:rPr>
      </w:pPr>
      <w:r w:rsidRPr="00770171">
        <w:rPr>
          <w:rFonts w:ascii="宋体" w:hAnsi="宋体" w:cs="Arial"/>
          <w:sz w:val="24"/>
        </w:rPr>
        <w:t>企业财务总监、总会计师、财务经理及</w:t>
      </w:r>
      <w:r w:rsidRPr="00770171">
        <w:rPr>
          <w:rFonts w:ascii="宋体" w:hAnsi="宋体" w:cs="Arial" w:hint="eastAsia"/>
          <w:sz w:val="24"/>
        </w:rPr>
        <w:t>相关财务决策</w:t>
      </w:r>
      <w:r w:rsidRPr="00770171">
        <w:rPr>
          <w:rFonts w:ascii="宋体" w:hAnsi="宋体" w:cs="Arial"/>
          <w:sz w:val="24"/>
        </w:rPr>
        <w:t>人员</w:t>
      </w:r>
      <w:r w:rsidRPr="00770171">
        <w:rPr>
          <w:rFonts w:ascii="宋体" w:hAnsi="宋体" w:cs="Arial" w:hint="eastAsia"/>
          <w:sz w:val="24"/>
        </w:rPr>
        <w:t>（掌握财务知识，运作财务管理）</w:t>
      </w:r>
    </w:p>
    <w:p w:rsidR="003B68DE" w:rsidRPr="00770171" w:rsidRDefault="00B571BA">
      <w:pPr>
        <w:numPr>
          <w:ilvl w:val="1"/>
          <w:numId w:val="1"/>
        </w:numPr>
        <w:spacing w:line="380" w:lineRule="exact"/>
        <w:rPr>
          <w:rFonts w:ascii="宋体" w:hAnsi="宋体" w:cs="Arial"/>
          <w:color w:val="000000"/>
          <w:sz w:val="24"/>
        </w:rPr>
      </w:pPr>
      <w:r w:rsidRPr="00770171">
        <w:rPr>
          <w:rFonts w:ascii="宋体" w:hAnsi="宋体" w:cs="宋体" w:hint="eastAsia"/>
          <w:kern w:val="0"/>
          <w:sz w:val="24"/>
        </w:rPr>
        <w:t>金融、证券、投资等行业高级管理人员和专业人员（全面知识系统，探究财务经营）</w:t>
      </w:r>
    </w:p>
    <w:p w:rsidR="003B68DE" w:rsidRPr="00770171" w:rsidRDefault="00B571BA">
      <w:pPr>
        <w:spacing w:line="360" w:lineRule="auto"/>
        <w:rPr>
          <w:rFonts w:ascii="宋体" w:hAnsi="宋体"/>
          <w:sz w:val="24"/>
          <w:szCs w:val="24"/>
        </w:rPr>
      </w:pPr>
      <w:r w:rsidRPr="00770171">
        <w:rPr>
          <w:rFonts w:ascii="宋体" w:hAnsi="宋体" w:cs="黑体" w:hint="eastAsia"/>
          <w:sz w:val="28"/>
          <w:szCs w:val="28"/>
        </w:rPr>
        <w:t>【</w:t>
      </w:r>
      <w:r w:rsidRPr="00770171">
        <w:rPr>
          <w:rFonts w:ascii="宋体" w:hAnsi="宋体" w:cs="黑体" w:hint="eastAsia"/>
          <w:b/>
          <w:bCs/>
          <w:sz w:val="28"/>
          <w:szCs w:val="28"/>
        </w:rPr>
        <w:t>课程设置</w:t>
      </w:r>
      <w:r w:rsidRPr="00770171">
        <w:rPr>
          <w:rFonts w:ascii="宋体" w:hAnsi="宋体" w:cs="黑体" w:hint="eastAsia"/>
          <w:sz w:val="28"/>
          <w:szCs w:val="28"/>
        </w:rPr>
        <w:t>】</w:t>
      </w:r>
    </w:p>
    <w:tbl>
      <w:tblPr>
        <w:tblW w:w="949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4708"/>
        <w:gridCol w:w="84"/>
        <w:gridCol w:w="28"/>
        <w:gridCol w:w="4679"/>
      </w:tblGrid>
      <w:tr w:rsidR="003B68DE" w:rsidRPr="00770171">
        <w:trPr>
          <w:trHeight w:val="589"/>
        </w:trPr>
        <w:tc>
          <w:tcPr>
            <w:tcW w:w="9499" w:type="dxa"/>
            <w:gridSpan w:val="4"/>
            <w:shd w:val="clear" w:color="auto" w:fill="800080"/>
            <w:vAlign w:val="center"/>
          </w:tcPr>
          <w:p w:rsidR="003B68DE" w:rsidRPr="00770171" w:rsidRDefault="00B571B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70171">
              <w:rPr>
                <w:rFonts w:ascii="宋体" w:hAnsi="宋体" w:hint="eastAsia"/>
                <w:b/>
                <w:bCs/>
                <w:sz w:val="28"/>
                <w:szCs w:val="28"/>
              </w:rPr>
              <w:t>第一单元：财务战略管理提升</w:t>
            </w:r>
            <w:r w:rsidRPr="00770171">
              <w:rPr>
                <w:rFonts w:ascii="宋体" w:hAnsi="宋体"/>
                <w:b/>
                <w:bCs/>
                <w:sz w:val="28"/>
                <w:szCs w:val="28"/>
              </w:rPr>
              <w:t>企业价值</w:t>
            </w:r>
          </w:p>
        </w:tc>
      </w:tr>
      <w:tr w:rsidR="003B68DE" w:rsidRPr="00770171">
        <w:trPr>
          <w:trHeight w:val="599"/>
        </w:trPr>
        <w:tc>
          <w:tcPr>
            <w:tcW w:w="4708" w:type="dxa"/>
            <w:shd w:val="clear" w:color="auto" w:fill="auto"/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b/>
                <w:szCs w:val="21"/>
              </w:rPr>
              <w:t xml:space="preserve">专题一 </w:t>
            </w:r>
            <w:r w:rsidRPr="0077017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公司财务战略与前瞻</w:t>
            </w:r>
          </w:p>
        </w:tc>
        <w:tc>
          <w:tcPr>
            <w:tcW w:w="4791" w:type="dxa"/>
            <w:gridSpan w:val="3"/>
            <w:tcBorders>
              <w:bottom w:val="single" w:sz="6" w:space="0" w:color="000080"/>
            </w:tcBorders>
            <w:vAlign w:val="center"/>
          </w:tcPr>
          <w:p w:rsidR="003B68DE" w:rsidRPr="00770171" w:rsidRDefault="00B571BA" w:rsidP="004F4368">
            <w:pPr>
              <w:spacing w:beforeLines="20" w:afterLines="20" w:line="3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70171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 xml:space="preserve">专题二 </w:t>
            </w: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企业内部控制与风险管理</w:t>
            </w:r>
          </w:p>
        </w:tc>
      </w:tr>
      <w:tr w:rsidR="003B68DE" w:rsidRPr="00770171">
        <w:trPr>
          <w:trHeight w:val="855"/>
        </w:trPr>
        <w:tc>
          <w:tcPr>
            <w:tcW w:w="4708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lastRenderedPageBreak/>
              <w:t>财务战略的制定方法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企业资金投放战略方案的设计与实施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资本市场选择与企业融资渠道分析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企业价值链管理</w:t>
            </w:r>
          </w:p>
        </w:tc>
        <w:tc>
          <w:tcPr>
            <w:tcW w:w="4791" w:type="dxa"/>
            <w:gridSpan w:val="3"/>
            <w:tcBorders>
              <w:bottom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内部控制的绩效标准的设计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内部控制机制的实施与应用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内控的建立和执行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企业风险的种类与改善机制</w:t>
            </w:r>
          </w:p>
        </w:tc>
      </w:tr>
      <w:tr w:rsidR="003B68DE" w:rsidRPr="00770171">
        <w:trPr>
          <w:trHeight w:val="588"/>
        </w:trPr>
        <w:tc>
          <w:tcPr>
            <w:tcW w:w="4708" w:type="dxa"/>
            <w:shd w:val="clear" w:color="auto" w:fill="auto"/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70171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 xml:space="preserve">专题三 </w:t>
            </w:r>
            <w:r w:rsidRPr="00770171">
              <w:rPr>
                <w:rStyle w:val="a7"/>
                <w:rFonts w:ascii="宋体" w:hAnsi="宋体" w:hint="eastAsia"/>
                <w:color w:val="000000"/>
                <w:szCs w:val="21"/>
              </w:rPr>
              <w:t>公司治理与集团财务管控</w:t>
            </w:r>
          </w:p>
        </w:tc>
        <w:tc>
          <w:tcPr>
            <w:tcW w:w="4791" w:type="dxa"/>
            <w:gridSpan w:val="3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70171">
              <w:rPr>
                <w:rFonts w:ascii="宋体" w:hAnsi="宋体" w:hint="eastAsia"/>
                <w:b/>
                <w:color w:val="000000"/>
                <w:szCs w:val="21"/>
              </w:rPr>
              <w:t>专题四 企业并购重组与</w:t>
            </w:r>
            <w:r w:rsidRPr="00770171">
              <w:rPr>
                <w:rFonts w:ascii="宋体" w:hAnsi="宋体"/>
                <w:b/>
                <w:color w:val="000000"/>
                <w:szCs w:val="21"/>
              </w:rPr>
              <w:t>价值重塑</w:t>
            </w:r>
          </w:p>
        </w:tc>
      </w:tr>
      <w:tr w:rsidR="003B68DE" w:rsidRPr="00770171">
        <w:trPr>
          <w:trHeight w:val="1727"/>
        </w:trPr>
        <w:tc>
          <w:tcPr>
            <w:tcW w:w="4708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治理中的激励与约束机制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产权制度和企业法人治理结构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公司治理结构与集团财务控制体系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国内外公司治理案例分析与讨论</w:t>
            </w:r>
          </w:p>
        </w:tc>
        <w:tc>
          <w:tcPr>
            <w:tcW w:w="4791" w:type="dxa"/>
            <w:gridSpan w:val="3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并购的战略思维与选择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并购方案设计、对象筛选与时机选择策略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成功并购后的整合策略与操作路径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全</w:t>
            </w: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球</w:t>
            </w: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流通下的上市公司收购与反收购</w:t>
            </w:r>
          </w:p>
        </w:tc>
      </w:tr>
      <w:tr w:rsidR="003B68DE" w:rsidRPr="00770171">
        <w:trPr>
          <w:trHeight w:val="589"/>
        </w:trPr>
        <w:tc>
          <w:tcPr>
            <w:tcW w:w="9499" w:type="dxa"/>
            <w:gridSpan w:val="4"/>
            <w:shd w:val="clear" w:color="auto" w:fill="800080"/>
            <w:vAlign w:val="center"/>
          </w:tcPr>
          <w:p w:rsidR="003B68DE" w:rsidRPr="00770171" w:rsidRDefault="00B571B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70171">
              <w:rPr>
                <w:rFonts w:ascii="宋体" w:hAnsi="宋体" w:hint="eastAsia"/>
                <w:b/>
                <w:bCs/>
                <w:sz w:val="28"/>
                <w:szCs w:val="28"/>
              </w:rPr>
              <w:t>第二单元：企业上市操作实务与资本运作</w:t>
            </w:r>
          </w:p>
        </w:tc>
      </w:tr>
      <w:tr w:rsidR="003B68DE" w:rsidRPr="00770171">
        <w:trPr>
          <w:trHeight w:val="322"/>
        </w:trPr>
        <w:tc>
          <w:tcPr>
            <w:tcW w:w="4708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770171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 xml:space="preserve">专题五 </w:t>
            </w:r>
            <w:r w:rsidRPr="00770171">
              <w:rPr>
                <w:rFonts w:ascii="宋体" w:hAnsi="宋体" w:hint="eastAsia"/>
                <w:b/>
                <w:color w:val="000000"/>
                <w:szCs w:val="21"/>
              </w:rPr>
              <w:t>企业上市战略选择与实施流程</w:t>
            </w:r>
          </w:p>
        </w:tc>
        <w:tc>
          <w:tcPr>
            <w:tcW w:w="4791" w:type="dxa"/>
            <w:gridSpan w:val="3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3B68DE" w:rsidRPr="00770171" w:rsidRDefault="00B571BA">
            <w:pPr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专题六 资本市场与私募股权</w:t>
            </w:r>
          </w:p>
        </w:tc>
      </w:tr>
      <w:tr w:rsidR="003B68DE" w:rsidRPr="00770171">
        <w:trPr>
          <w:trHeight w:val="1667"/>
        </w:trPr>
        <w:tc>
          <w:tcPr>
            <w:tcW w:w="4708" w:type="dxa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国内外资本市场新格局与IPO发展趋势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企业上市的地点、时机与方式的优化选择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国际资本市场上市融资的问题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海外上市流程、审批、监管及注意事项</w:t>
            </w:r>
          </w:p>
        </w:tc>
        <w:tc>
          <w:tcPr>
            <w:tcW w:w="4791" w:type="dxa"/>
            <w:gridSpan w:val="3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私募股权投资基金概述篇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企业承接私募投资的股权设计篇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与私募对赌协议的安排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IPO大败局分析[被否决案例分析]</w:t>
            </w:r>
          </w:p>
        </w:tc>
      </w:tr>
      <w:tr w:rsidR="003B68DE" w:rsidRPr="00770171">
        <w:trPr>
          <w:trHeight w:val="641"/>
        </w:trPr>
        <w:tc>
          <w:tcPr>
            <w:tcW w:w="9499" w:type="dxa"/>
            <w:gridSpan w:val="4"/>
            <w:shd w:val="clear" w:color="auto" w:fill="800080"/>
            <w:vAlign w:val="center"/>
          </w:tcPr>
          <w:p w:rsidR="003B68DE" w:rsidRPr="00770171" w:rsidRDefault="00B571BA">
            <w:pPr>
              <w:spacing w:line="4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70171">
              <w:rPr>
                <w:rFonts w:ascii="宋体" w:hAnsi="宋体" w:hint="eastAsia"/>
                <w:b/>
                <w:bCs/>
                <w:sz w:val="28"/>
                <w:szCs w:val="28"/>
              </w:rPr>
              <w:t>第三单元：财税实务管理练就</w:t>
            </w:r>
            <w:r w:rsidRPr="00770171">
              <w:rPr>
                <w:rFonts w:ascii="宋体" w:hAnsi="宋体"/>
                <w:b/>
                <w:bCs/>
                <w:sz w:val="28"/>
                <w:szCs w:val="28"/>
              </w:rPr>
              <w:t>内功</w:t>
            </w:r>
          </w:p>
        </w:tc>
      </w:tr>
      <w:tr w:rsidR="003B68DE" w:rsidRPr="00770171">
        <w:trPr>
          <w:trHeight w:val="305"/>
        </w:trPr>
        <w:tc>
          <w:tcPr>
            <w:tcW w:w="4792" w:type="dxa"/>
            <w:gridSpan w:val="2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3B68DE" w:rsidRPr="00770171" w:rsidRDefault="00B571BA" w:rsidP="004F4368">
            <w:pPr>
              <w:spacing w:beforeLines="20" w:afterLines="20" w:line="46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70171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 xml:space="preserve">专题七 </w:t>
            </w:r>
            <w:r w:rsidRPr="00770171">
              <w:rPr>
                <w:rFonts w:ascii="宋体" w:hAnsi="宋体" w:hint="eastAsia"/>
                <w:b/>
                <w:color w:val="000000"/>
                <w:szCs w:val="21"/>
              </w:rPr>
              <w:t>发票税务风险的防范与管控</w:t>
            </w:r>
          </w:p>
        </w:tc>
        <w:tc>
          <w:tcPr>
            <w:tcW w:w="4707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 w:rsidP="004F4368">
            <w:pPr>
              <w:spacing w:beforeLines="20" w:afterLines="20" w:line="460" w:lineRule="exact"/>
              <w:jc w:val="center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专题八 </w:t>
            </w:r>
            <w:r w:rsidRPr="00770171">
              <w:rPr>
                <w:rFonts w:ascii="宋体" w:hAnsi="宋体" w:hint="eastAsia"/>
                <w:b/>
              </w:rPr>
              <w:t>税务筹划与利润创造</w:t>
            </w:r>
          </w:p>
        </w:tc>
      </w:tr>
      <w:tr w:rsidR="003B68DE" w:rsidRPr="00770171">
        <w:trPr>
          <w:trHeight w:val="1620"/>
        </w:trPr>
        <w:tc>
          <w:tcPr>
            <w:tcW w:w="4792" w:type="dxa"/>
            <w:gridSpan w:val="2"/>
            <w:tcBorders>
              <w:bottom w:val="single" w:sz="6" w:space="0" w:color="000080"/>
            </w:tcBorders>
            <w:shd w:val="clear" w:color="auto" w:fill="auto"/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公司发票专题篇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发票类税务案例及政策解析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经营活动中发票的风险点提示及规避方法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公司防控税务风险体系的规划建立与运用</w:t>
            </w:r>
          </w:p>
        </w:tc>
        <w:tc>
          <w:tcPr>
            <w:tcW w:w="4707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企业税收筹划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税收筹划两大基本前提和</w:t>
            </w: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五大因素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企业税收筹划的风险控制</w:t>
            </w:r>
          </w:p>
        </w:tc>
      </w:tr>
      <w:tr w:rsidR="003B68DE" w:rsidRPr="00770171">
        <w:trPr>
          <w:trHeight w:val="305"/>
        </w:trPr>
        <w:tc>
          <w:tcPr>
            <w:tcW w:w="4792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 w:rsidP="004F4368">
            <w:pPr>
              <w:spacing w:beforeLines="20" w:afterLines="20"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70171">
              <w:rPr>
                <w:rFonts w:ascii="宋体" w:hAnsi="宋体" w:hint="eastAsia"/>
                <w:b/>
                <w:szCs w:val="21"/>
              </w:rPr>
              <w:t>专题九 全面预算管理</w:t>
            </w:r>
          </w:p>
        </w:tc>
        <w:tc>
          <w:tcPr>
            <w:tcW w:w="4707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 w:rsidP="004F4368">
            <w:pPr>
              <w:spacing w:beforeLines="20" w:afterLines="20"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专题</w:t>
            </w:r>
            <w:r w:rsidRPr="00770171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十</w:t>
            </w: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互联网时代的全面成本控制</w:t>
            </w:r>
          </w:p>
        </w:tc>
      </w:tr>
      <w:tr w:rsidR="003B68DE" w:rsidRPr="00770171">
        <w:trPr>
          <w:trHeight w:val="481"/>
        </w:trPr>
        <w:tc>
          <w:tcPr>
            <w:tcW w:w="4792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预算在企业运营中的重新定位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编制预算的有效工具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预算与绩效考核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具体方法与案例分析</w:t>
            </w:r>
          </w:p>
        </w:tc>
        <w:tc>
          <w:tcPr>
            <w:tcW w:w="4707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全面认识成本—成本的三大视角和十组特性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全面成本控制八大方法十一大环节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全面成本控制的哲学思考</w:t>
            </w:r>
          </w:p>
        </w:tc>
      </w:tr>
      <w:tr w:rsidR="003B68DE" w:rsidRPr="00770171">
        <w:trPr>
          <w:trHeight w:val="305"/>
        </w:trPr>
        <w:tc>
          <w:tcPr>
            <w:tcW w:w="4792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0171">
              <w:rPr>
                <w:rFonts w:ascii="宋体" w:hAnsi="宋体" w:hint="eastAsia"/>
                <w:b/>
                <w:color w:val="000000"/>
                <w:szCs w:val="21"/>
              </w:rPr>
              <w:t xml:space="preserve">专题十一 </w:t>
            </w: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财务报表分析与企业经营决策</w:t>
            </w:r>
          </w:p>
        </w:tc>
        <w:tc>
          <w:tcPr>
            <w:tcW w:w="4707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70171">
              <w:rPr>
                <w:rFonts w:ascii="宋体" w:hAnsi="宋体" w:hint="eastAsia"/>
                <w:b/>
                <w:szCs w:val="21"/>
              </w:rPr>
              <w:t xml:space="preserve">专题十二 </w:t>
            </w:r>
            <w:r w:rsidRPr="00770171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企业现金流管理</w:t>
            </w:r>
          </w:p>
        </w:tc>
      </w:tr>
      <w:tr w:rsidR="003B68DE" w:rsidRPr="00770171">
        <w:trPr>
          <w:trHeight w:val="1531"/>
        </w:trPr>
        <w:tc>
          <w:tcPr>
            <w:tcW w:w="4792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hint="eastAsia"/>
                <w:color w:val="000080"/>
              </w:rPr>
              <w:lastRenderedPageBreak/>
              <w:t>资产负债表分析与经营决策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hint="eastAsia"/>
                <w:color w:val="000080"/>
              </w:rPr>
              <w:t>利润表分析与经营决策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hint="eastAsia"/>
                <w:color w:val="000080"/>
              </w:rPr>
              <w:t>现金流量表分析与经营决策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70171">
              <w:rPr>
                <w:rFonts w:ascii="宋体" w:hAnsi="宋体" w:hint="eastAsia"/>
                <w:color w:val="000080"/>
              </w:rPr>
              <w:t>价值分析与企业价值决定</w:t>
            </w:r>
          </w:p>
        </w:tc>
        <w:tc>
          <w:tcPr>
            <w:tcW w:w="4707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现金预算管理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如何准确预测未来现金流量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建立自己公司的现金流量管理机制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根据现金流量表的现金流管理</w:t>
            </w:r>
          </w:p>
        </w:tc>
      </w:tr>
      <w:tr w:rsidR="003B68DE" w:rsidRPr="00770171">
        <w:trPr>
          <w:trHeight w:val="641"/>
        </w:trPr>
        <w:tc>
          <w:tcPr>
            <w:tcW w:w="9499" w:type="dxa"/>
            <w:gridSpan w:val="4"/>
            <w:shd w:val="clear" w:color="auto" w:fill="800080"/>
            <w:vAlign w:val="center"/>
          </w:tcPr>
          <w:p w:rsidR="003B68DE" w:rsidRPr="00770171" w:rsidRDefault="00B571B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70171">
              <w:rPr>
                <w:rFonts w:ascii="宋体" w:hAnsi="宋体" w:hint="eastAsia"/>
                <w:b/>
                <w:bCs/>
                <w:sz w:val="28"/>
                <w:szCs w:val="28"/>
              </w:rPr>
              <w:t>第四单元：管理素质提升模块</w:t>
            </w:r>
          </w:p>
        </w:tc>
      </w:tr>
      <w:tr w:rsidR="003B68DE" w:rsidRPr="00770171">
        <w:trPr>
          <w:trHeight w:val="305"/>
        </w:trPr>
        <w:tc>
          <w:tcPr>
            <w:tcW w:w="4792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770171">
              <w:rPr>
                <w:rFonts w:ascii="宋体" w:hAnsi="宋体" w:hint="eastAsia"/>
                <w:b/>
                <w:color w:val="000000"/>
                <w:szCs w:val="21"/>
              </w:rPr>
              <w:t>专题十三 财务高管</w:t>
            </w:r>
            <w:r w:rsidRPr="00770171">
              <w:rPr>
                <w:rFonts w:ascii="宋体" w:hAnsi="宋体" w:cs="宋体" w:hint="eastAsia"/>
                <w:b/>
                <w:kern w:val="0"/>
                <w:szCs w:val="21"/>
              </w:rPr>
              <w:t>领导力提升与领导艺术修炼</w:t>
            </w:r>
          </w:p>
        </w:tc>
        <w:tc>
          <w:tcPr>
            <w:tcW w:w="4707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 w:rsidP="004F4368">
            <w:pPr>
              <w:spacing w:beforeLines="20" w:afterLines="20" w:line="360" w:lineRule="exact"/>
              <w:jc w:val="center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cs="宋体" w:hint="eastAsia"/>
                <w:b/>
                <w:kern w:val="0"/>
                <w:szCs w:val="21"/>
              </w:rPr>
              <w:t xml:space="preserve">专题十四 </w:t>
            </w:r>
            <w:r w:rsidRPr="00770171">
              <w:rPr>
                <w:rFonts w:ascii="宋体" w:hAnsi="宋体" w:hint="eastAsia"/>
                <w:b/>
                <w:szCs w:val="21"/>
              </w:rPr>
              <w:t>创新思维与管理</w:t>
            </w:r>
          </w:p>
        </w:tc>
      </w:tr>
      <w:tr w:rsidR="003B68DE" w:rsidRPr="00770171">
        <w:trPr>
          <w:trHeight w:val="305"/>
        </w:trPr>
        <w:tc>
          <w:tcPr>
            <w:tcW w:w="4792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领导</w:t>
            </w:r>
            <w:r w:rsidRPr="00770171">
              <w:rPr>
                <w:rFonts w:ascii="宋体" w:hAnsi="宋体" w:cs="宋体" w:hint="eastAsia"/>
                <w:color w:val="000080"/>
                <w:kern w:val="0"/>
                <w:szCs w:val="21"/>
              </w:rPr>
              <w:t>艺术的本质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领导力的价值体现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领导艺术的学习借鉴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color w:val="000080"/>
                <w:kern w:val="0"/>
                <w:szCs w:val="21"/>
              </w:rPr>
            </w:pPr>
            <w:r w:rsidRPr="00770171">
              <w:rPr>
                <w:rFonts w:ascii="宋体" w:hAnsi="宋体" w:cs="宋体"/>
                <w:color w:val="000080"/>
                <w:kern w:val="0"/>
                <w:szCs w:val="21"/>
              </w:rPr>
              <w:t>领导艺术的自我参悟</w:t>
            </w:r>
          </w:p>
        </w:tc>
        <w:tc>
          <w:tcPr>
            <w:tcW w:w="4707" w:type="dxa"/>
            <w:gridSpan w:val="2"/>
            <w:tcBorders>
              <w:bottom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 w:rsidRPr="00770171">
              <w:rPr>
                <w:rFonts w:ascii="宋体" w:hAnsi="宋体" w:cs="宋体" w:hint="eastAsia"/>
                <w:kern w:val="0"/>
              </w:rPr>
              <w:t>创新与创新思维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kern w:val="0"/>
              </w:rPr>
              <w:t>克服创新思维的障碍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kern w:val="0"/>
              </w:rPr>
            </w:pPr>
            <w:r w:rsidRPr="00770171">
              <w:rPr>
                <w:rFonts w:ascii="宋体" w:hAnsi="宋体" w:cs="宋体" w:hint="eastAsia"/>
                <w:kern w:val="0"/>
              </w:rPr>
              <w:t>培养创新思维的方法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kern w:val="0"/>
              </w:rPr>
              <w:t>运用创新思维管理团队</w:t>
            </w:r>
          </w:p>
        </w:tc>
      </w:tr>
      <w:tr w:rsidR="003B68DE" w:rsidRPr="00770171">
        <w:trPr>
          <w:trHeight w:val="589"/>
        </w:trPr>
        <w:tc>
          <w:tcPr>
            <w:tcW w:w="9499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800080"/>
            <w:vAlign w:val="center"/>
          </w:tcPr>
          <w:p w:rsidR="003B68DE" w:rsidRPr="00770171" w:rsidRDefault="00B571B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70171">
              <w:rPr>
                <w:rFonts w:ascii="宋体" w:hAnsi="宋体" w:hint="eastAsia"/>
                <w:b/>
                <w:bCs/>
                <w:sz w:val="28"/>
                <w:szCs w:val="28"/>
              </w:rPr>
              <w:t>第五单元：预见企业</w:t>
            </w:r>
            <w:r w:rsidRPr="00770171">
              <w:rPr>
                <w:rFonts w:ascii="宋体" w:hAnsi="宋体"/>
                <w:b/>
                <w:bCs/>
                <w:sz w:val="28"/>
                <w:szCs w:val="28"/>
              </w:rPr>
              <w:t>未来发展</w:t>
            </w:r>
          </w:p>
        </w:tc>
      </w:tr>
      <w:tr w:rsidR="003B68DE" w:rsidRPr="00770171">
        <w:trPr>
          <w:trHeight w:val="502"/>
        </w:trPr>
        <w:tc>
          <w:tcPr>
            <w:tcW w:w="482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spacing w:line="360" w:lineRule="exact"/>
              <w:rPr>
                <w:rFonts w:ascii="宋体" w:hAnsi="宋体" w:cs="宋体"/>
                <w:b/>
                <w:bCs/>
              </w:rPr>
            </w:pPr>
            <w:r w:rsidRPr="00770171">
              <w:rPr>
                <w:rFonts w:ascii="宋体" w:hAnsi="宋体" w:cs="宋体" w:hint="eastAsia"/>
                <w:b/>
                <w:bCs/>
              </w:rPr>
              <w:t>专题十五</w:t>
            </w:r>
            <w:r w:rsidRPr="00770171">
              <w:rPr>
                <w:rFonts w:ascii="宋体" w:hAnsi="宋体" w:cs="宋体"/>
                <w:b/>
                <w:bCs/>
              </w:rPr>
              <w:t xml:space="preserve">   </w:t>
            </w:r>
            <w:r w:rsidRPr="00770171">
              <w:rPr>
                <w:rFonts w:ascii="宋体" w:hAnsi="宋体" w:cs="宋体" w:hint="eastAsia"/>
                <w:b/>
                <w:bCs/>
              </w:rPr>
              <w:t>经济大势与热点分析</w:t>
            </w:r>
          </w:p>
        </w:tc>
        <w:tc>
          <w:tcPr>
            <w:tcW w:w="46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spacing w:line="360" w:lineRule="exact"/>
              <w:rPr>
                <w:rFonts w:ascii="宋体" w:hAnsi="宋体" w:cs="宋体"/>
                <w:b/>
                <w:bCs/>
              </w:rPr>
            </w:pPr>
            <w:r w:rsidRPr="00770171">
              <w:rPr>
                <w:rFonts w:ascii="宋体" w:hAnsi="宋体" w:cs="宋体" w:hint="eastAsia"/>
                <w:b/>
                <w:bCs/>
              </w:rPr>
              <w:t>专题十六</w:t>
            </w:r>
            <w:r w:rsidRPr="00770171">
              <w:rPr>
                <w:rFonts w:ascii="宋体" w:hAnsi="宋体" w:cs="宋体"/>
                <w:b/>
                <w:bCs/>
              </w:rPr>
              <w:t xml:space="preserve">   </w:t>
            </w:r>
            <w:r w:rsidRPr="00770171">
              <w:rPr>
                <w:rFonts w:ascii="宋体" w:hAnsi="宋体" w:cs="宋体" w:hint="eastAsia"/>
                <w:b/>
                <w:bCs/>
              </w:rPr>
              <w:t>信息</w:t>
            </w:r>
            <w:r w:rsidRPr="00770171">
              <w:rPr>
                <w:rFonts w:ascii="宋体" w:hAnsi="宋体" w:cs="宋体"/>
                <w:b/>
                <w:bCs/>
              </w:rPr>
              <w:t>技术与大数据时代</w:t>
            </w:r>
          </w:p>
        </w:tc>
      </w:tr>
      <w:tr w:rsidR="003B68DE" w:rsidRPr="00770171">
        <w:trPr>
          <w:trHeight w:val="502"/>
        </w:trPr>
        <w:tc>
          <w:tcPr>
            <w:tcW w:w="4820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770171">
              <w:rPr>
                <w:rFonts w:ascii="宋体" w:hAnsi="宋体" w:cs="宋体" w:hint="eastAsia"/>
                <w:sz w:val="22"/>
              </w:rPr>
              <w:t>世界经济从低迷中复苏的分析判断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770171">
              <w:rPr>
                <w:rFonts w:ascii="宋体" w:hAnsi="宋体" w:cs="宋体" w:hint="eastAsia"/>
                <w:sz w:val="22"/>
              </w:rPr>
              <w:t>中国经济周期分析判断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770171">
              <w:rPr>
                <w:rFonts w:ascii="宋体" w:hAnsi="宋体" w:cs="宋体" w:hint="eastAsia"/>
                <w:sz w:val="22"/>
              </w:rPr>
              <w:t>中国经济战略机遇期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/>
                <w:kern w:val="0"/>
              </w:rPr>
            </w:pPr>
            <w:r w:rsidRPr="00770171">
              <w:rPr>
                <w:rFonts w:ascii="宋体" w:hAnsi="宋体" w:cs="宋体" w:hint="eastAsia"/>
                <w:sz w:val="22"/>
              </w:rPr>
              <w:t>企业转型时机把握</w:t>
            </w:r>
          </w:p>
        </w:tc>
        <w:tc>
          <w:tcPr>
            <w:tcW w:w="46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770171">
              <w:rPr>
                <w:rFonts w:ascii="宋体" w:hAnsi="宋体" w:cs="宋体" w:hint="eastAsia"/>
                <w:sz w:val="22"/>
              </w:rPr>
              <w:t>最现代化经济形态——信息</w:t>
            </w:r>
            <w:r w:rsidRPr="00770171">
              <w:rPr>
                <w:rFonts w:ascii="宋体" w:hAnsi="宋体" w:cs="宋体"/>
                <w:sz w:val="22"/>
              </w:rPr>
              <w:t>经济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770171">
              <w:rPr>
                <w:rFonts w:ascii="宋体" w:hAnsi="宋体" w:cs="宋体" w:hint="eastAsia"/>
                <w:sz w:val="22"/>
              </w:rPr>
              <w:t>众包模式</w:t>
            </w:r>
            <w:r w:rsidRPr="00770171">
              <w:rPr>
                <w:rFonts w:ascii="宋体" w:hAnsi="宋体" w:cs="宋体"/>
                <w:sz w:val="22"/>
              </w:rPr>
              <w:t>与社会化电商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770171">
              <w:rPr>
                <w:rFonts w:ascii="宋体" w:hAnsi="宋体" w:cs="宋体" w:hint="eastAsia"/>
                <w:sz w:val="22"/>
              </w:rPr>
              <w:t>未来世界</w:t>
            </w:r>
            <w:r w:rsidRPr="00770171">
              <w:rPr>
                <w:rFonts w:ascii="宋体" w:hAnsi="宋体" w:cs="宋体"/>
                <w:sz w:val="22"/>
              </w:rPr>
              <w:t>一切皆服务</w:t>
            </w:r>
          </w:p>
          <w:p w:rsidR="003B68DE" w:rsidRPr="00770171" w:rsidRDefault="00B571BA"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ascii="宋体" w:hAnsi="宋体" w:cs="宋体"/>
                <w:sz w:val="22"/>
              </w:rPr>
            </w:pPr>
            <w:r w:rsidRPr="00770171">
              <w:rPr>
                <w:rFonts w:ascii="宋体" w:hAnsi="宋体" w:cs="宋体" w:hint="eastAsia"/>
                <w:sz w:val="22"/>
              </w:rPr>
              <w:t>从小数据</w:t>
            </w:r>
            <w:r w:rsidRPr="00770171">
              <w:rPr>
                <w:rFonts w:ascii="宋体" w:hAnsi="宋体" w:cs="宋体"/>
                <w:sz w:val="22"/>
              </w:rPr>
              <w:t>到大数据</w:t>
            </w:r>
          </w:p>
        </w:tc>
      </w:tr>
    </w:tbl>
    <w:p w:rsidR="003B68DE" w:rsidRPr="00770171" w:rsidRDefault="00B571BA">
      <w:pPr>
        <w:spacing w:line="360" w:lineRule="auto"/>
        <w:rPr>
          <w:rFonts w:ascii="宋体" w:hAnsi="宋体"/>
          <w:sz w:val="28"/>
          <w:szCs w:val="28"/>
        </w:rPr>
      </w:pPr>
      <w:r w:rsidRPr="00770171">
        <w:rPr>
          <w:rFonts w:ascii="宋体" w:hAnsi="宋体" w:cs="黑体" w:hint="eastAsia"/>
          <w:sz w:val="28"/>
          <w:szCs w:val="28"/>
        </w:rPr>
        <w:t>【</w:t>
      </w:r>
      <w:r w:rsidRPr="00770171">
        <w:rPr>
          <w:rFonts w:ascii="宋体" w:hAnsi="宋体" w:cs="黑体" w:hint="eastAsia"/>
          <w:b/>
          <w:bCs/>
          <w:sz w:val="28"/>
          <w:szCs w:val="28"/>
        </w:rPr>
        <w:t>学员活动</w:t>
      </w:r>
      <w:r w:rsidRPr="00770171">
        <w:rPr>
          <w:rFonts w:ascii="宋体" w:hAnsi="宋体" w:cs="黑体" w:hint="eastAsia"/>
          <w:sz w:val="28"/>
          <w:szCs w:val="28"/>
        </w:rPr>
        <w:t>】</w:t>
      </w:r>
    </w:p>
    <w:p w:rsidR="003B68DE" w:rsidRPr="00770171" w:rsidRDefault="00B571BA">
      <w:pPr>
        <w:spacing w:line="348" w:lineRule="auto"/>
        <w:ind w:leftChars="85" w:left="178" w:firstLineChars="150" w:firstLine="360"/>
        <w:rPr>
          <w:rFonts w:ascii="宋体" w:hAnsi="宋体"/>
          <w:sz w:val="24"/>
          <w:szCs w:val="24"/>
        </w:rPr>
      </w:pPr>
      <w:r w:rsidRPr="00770171">
        <w:rPr>
          <w:rFonts w:ascii="宋体" w:hAnsi="宋体" w:hint="eastAsia"/>
          <w:sz w:val="24"/>
          <w:szCs w:val="24"/>
        </w:rPr>
        <w:t>课余时间将结合授课安排及班级情况等酌情选择，组织丰富多彩的学员活动。</w:t>
      </w:r>
    </w:p>
    <w:tbl>
      <w:tblPr>
        <w:tblW w:w="9356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/>
      </w:tblPr>
      <w:tblGrid>
        <w:gridCol w:w="4685"/>
        <w:gridCol w:w="4671"/>
      </w:tblGrid>
      <w:tr w:rsidR="003B68DE" w:rsidRPr="00770171">
        <w:trPr>
          <w:trHeight w:val="524"/>
        </w:trPr>
        <w:tc>
          <w:tcPr>
            <w:tcW w:w="9356" w:type="dxa"/>
            <w:gridSpan w:val="2"/>
            <w:shd w:val="clear" w:color="auto" w:fill="800080"/>
            <w:vAlign w:val="center"/>
          </w:tcPr>
          <w:p w:rsidR="003B68DE" w:rsidRPr="00770171" w:rsidRDefault="00B571BA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770171">
              <w:rPr>
                <w:rFonts w:ascii="宋体" w:hAnsi="宋体" w:hint="eastAsia"/>
                <w:b/>
                <w:bCs/>
                <w:sz w:val="28"/>
                <w:szCs w:val="28"/>
              </w:rPr>
              <w:t>活动分享</w:t>
            </w:r>
          </w:p>
        </w:tc>
      </w:tr>
      <w:tr w:rsidR="003B68DE" w:rsidRPr="00770171">
        <w:trPr>
          <w:trHeight w:val="305"/>
        </w:trPr>
        <w:tc>
          <w:tcPr>
            <w:tcW w:w="4685" w:type="dxa"/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高端对话论坛</w:t>
            </w:r>
          </w:p>
        </w:tc>
        <w:tc>
          <w:tcPr>
            <w:tcW w:w="4671" w:type="dxa"/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0171">
              <w:rPr>
                <w:rFonts w:ascii="宋体" w:hAnsi="宋体" w:hint="eastAsia"/>
                <w:b/>
                <w:color w:val="000000"/>
                <w:szCs w:val="21"/>
              </w:rPr>
              <w:t>热点专题沙龙研讨</w:t>
            </w:r>
          </w:p>
        </w:tc>
      </w:tr>
      <w:tr w:rsidR="003B68DE" w:rsidRPr="00770171">
        <w:trPr>
          <w:trHeight w:val="305"/>
        </w:trPr>
        <w:tc>
          <w:tcPr>
            <w:tcW w:w="4685" w:type="dxa"/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70171">
              <w:rPr>
                <w:rFonts w:ascii="宋体" w:hAnsi="宋体" w:hint="eastAsia"/>
                <w:b/>
                <w:color w:val="000000"/>
                <w:szCs w:val="21"/>
              </w:rPr>
              <w:t>精彩演艺</w:t>
            </w:r>
          </w:p>
        </w:tc>
        <w:tc>
          <w:tcPr>
            <w:tcW w:w="4671" w:type="dxa"/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 w:rsidR="003B68DE" w:rsidRPr="00770171">
        <w:trPr>
          <w:trHeight w:val="305"/>
        </w:trPr>
        <w:tc>
          <w:tcPr>
            <w:tcW w:w="4685" w:type="dxa"/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70171">
              <w:rPr>
                <w:rFonts w:ascii="宋体" w:hAnsi="宋体" w:hint="eastAsia"/>
                <w:b/>
                <w:color w:val="000000"/>
                <w:szCs w:val="21"/>
              </w:rPr>
              <w:t>趣味运动会</w:t>
            </w:r>
          </w:p>
        </w:tc>
        <w:tc>
          <w:tcPr>
            <w:tcW w:w="4671" w:type="dxa"/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学员</w:t>
            </w:r>
            <w:r w:rsidRPr="00770171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企业产品</w:t>
            </w: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&amp;</w:t>
            </w:r>
            <w:r w:rsidRPr="00770171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资源对接会</w:t>
            </w:r>
          </w:p>
        </w:tc>
      </w:tr>
      <w:tr w:rsidR="003B68DE" w:rsidRPr="00770171">
        <w:trPr>
          <w:trHeight w:val="305"/>
        </w:trPr>
        <w:tc>
          <w:tcPr>
            <w:tcW w:w="4685" w:type="dxa"/>
            <w:tcBorders>
              <w:bottom w:val="single" w:sz="6" w:space="0" w:color="000080"/>
            </w:tcBorders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70171">
              <w:rPr>
                <w:rFonts w:ascii="宋体" w:hAnsi="宋体" w:hint="eastAsia"/>
                <w:b/>
                <w:color w:val="000000"/>
                <w:szCs w:val="21"/>
              </w:rPr>
              <w:t>温馨生日宴</w:t>
            </w:r>
          </w:p>
        </w:tc>
        <w:tc>
          <w:tcPr>
            <w:tcW w:w="4671" w:type="dxa"/>
            <w:tcBorders>
              <w:bottom w:val="single" w:sz="6" w:space="0" w:color="000080"/>
            </w:tcBorders>
            <w:vAlign w:val="center"/>
          </w:tcPr>
          <w:p w:rsidR="003B68DE" w:rsidRPr="00770171" w:rsidRDefault="00B571BA" w:rsidP="004F4368">
            <w:pPr>
              <w:spacing w:beforeLines="20" w:afterLines="20"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770171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企业参访</w:t>
            </w:r>
            <w:r w:rsidRPr="00770171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学习</w:t>
            </w:r>
          </w:p>
        </w:tc>
      </w:tr>
    </w:tbl>
    <w:p w:rsidR="00770171" w:rsidRDefault="00B571BA" w:rsidP="004F4368">
      <w:pPr>
        <w:spacing w:beforeLines="50" w:afterLines="50" w:line="360" w:lineRule="auto"/>
        <w:jc w:val="left"/>
        <w:rPr>
          <w:rFonts w:ascii="宋体" w:hAnsi="宋体" w:cs="新宋体"/>
          <w:sz w:val="24"/>
        </w:rPr>
      </w:pPr>
      <w:r w:rsidRPr="00770171">
        <w:rPr>
          <w:rFonts w:ascii="宋体" w:hAnsi="宋体" w:cs="黑体" w:hint="eastAsia"/>
          <w:sz w:val="28"/>
          <w:szCs w:val="28"/>
        </w:rPr>
        <w:t>【</w:t>
      </w:r>
      <w:r w:rsidRPr="00770171">
        <w:rPr>
          <w:rFonts w:ascii="宋体" w:hAnsi="宋体" w:cs="黑体" w:hint="eastAsia"/>
          <w:b/>
          <w:bCs/>
          <w:sz w:val="28"/>
          <w:szCs w:val="28"/>
        </w:rPr>
        <w:t>学制设置</w:t>
      </w:r>
      <w:r w:rsidRPr="00770171">
        <w:rPr>
          <w:rFonts w:ascii="宋体" w:hAnsi="宋体" w:cs="黑体" w:hint="eastAsia"/>
          <w:sz w:val="28"/>
          <w:szCs w:val="28"/>
        </w:rPr>
        <w:t>】</w:t>
      </w:r>
      <w:r w:rsidRPr="00770171">
        <w:rPr>
          <w:rFonts w:ascii="宋体" w:hAnsi="宋体" w:cs="新宋体" w:hint="eastAsia"/>
          <w:sz w:val="24"/>
        </w:rPr>
        <w:t>学制</w:t>
      </w:r>
      <w:r w:rsidRPr="00770171">
        <w:rPr>
          <w:rFonts w:ascii="宋体" w:hAnsi="宋体" w:cs="新宋体"/>
          <w:sz w:val="24"/>
        </w:rPr>
        <w:t>12</w:t>
      </w:r>
      <w:r w:rsidRPr="00770171">
        <w:rPr>
          <w:rFonts w:ascii="宋体" w:hAnsi="宋体" w:cs="新宋体" w:hint="eastAsia"/>
          <w:sz w:val="24"/>
        </w:rPr>
        <w:t>个月，每两月集中学习3天。</w:t>
      </w:r>
    </w:p>
    <w:p w:rsidR="003B68DE" w:rsidRPr="00770171" w:rsidRDefault="00B571BA" w:rsidP="004F4368">
      <w:pPr>
        <w:spacing w:beforeLines="50" w:afterLines="50" w:line="360" w:lineRule="auto"/>
        <w:jc w:val="left"/>
        <w:rPr>
          <w:rFonts w:ascii="宋体" w:hAnsi="宋体"/>
          <w:sz w:val="30"/>
          <w:szCs w:val="30"/>
        </w:rPr>
      </w:pPr>
      <w:r w:rsidRPr="00770171">
        <w:rPr>
          <w:rFonts w:ascii="宋体" w:hAnsi="宋体" w:cs="黑体" w:hint="eastAsia"/>
          <w:sz w:val="28"/>
          <w:szCs w:val="28"/>
        </w:rPr>
        <w:t>【</w:t>
      </w:r>
      <w:r w:rsidRPr="00770171">
        <w:rPr>
          <w:rFonts w:ascii="宋体" w:hAnsi="宋体" w:cs="黑体" w:hint="eastAsia"/>
          <w:b/>
          <w:bCs/>
          <w:sz w:val="28"/>
          <w:szCs w:val="28"/>
        </w:rPr>
        <w:t>主办单位</w:t>
      </w:r>
      <w:r w:rsidRPr="00770171">
        <w:rPr>
          <w:rFonts w:ascii="宋体" w:hAnsi="宋体" w:cs="黑体" w:hint="eastAsia"/>
          <w:sz w:val="28"/>
          <w:szCs w:val="28"/>
        </w:rPr>
        <w:t>】</w:t>
      </w:r>
      <w:r w:rsidRPr="00770171">
        <w:rPr>
          <w:rFonts w:ascii="宋体" w:hAnsi="宋体" w:hint="eastAsia"/>
          <w:sz w:val="24"/>
          <w:szCs w:val="24"/>
        </w:rPr>
        <w:t>国家CIMS中心</w:t>
      </w:r>
      <w:r w:rsidRPr="00770171">
        <w:rPr>
          <w:rFonts w:ascii="宋体" w:hAnsi="宋体" w:cs="新宋体" w:hint="eastAsia"/>
          <w:sz w:val="24"/>
          <w:szCs w:val="24"/>
        </w:rPr>
        <w:t xml:space="preserve"> </w:t>
      </w:r>
    </w:p>
    <w:p w:rsidR="003B68DE" w:rsidRPr="00770171" w:rsidRDefault="00B571BA" w:rsidP="004F4368">
      <w:pPr>
        <w:spacing w:beforeLines="50" w:afterLines="50" w:line="360" w:lineRule="auto"/>
        <w:jc w:val="left"/>
        <w:rPr>
          <w:rFonts w:ascii="宋体" w:hAnsi="宋体" w:cs="黑体"/>
          <w:sz w:val="28"/>
          <w:szCs w:val="28"/>
        </w:rPr>
      </w:pPr>
      <w:r w:rsidRPr="00770171">
        <w:rPr>
          <w:rFonts w:ascii="宋体" w:hAnsi="宋体" w:cs="黑体" w:hint="eastAsia"/>
          <w:sz w:val="28"/>
          <w:szCs w:val="28"/>
        </w:rPr>
        <w:t>【</w:t>
      </w:r>
      <w:r w:rsidRPr="00770171">
        <w:rPr>
          <w:rFonts w:ascii="宋体" w:hAnsi="宋体" w:cs="黑体" w:hint="eastAsia"/>
          <w:b/>
          <w:bCs/>
          <w:sz w:val="28"/>
          <w:szCs w:val="28"/>
        </w:rPr>
        <w:t>学习费用</w:t>
      </w:r>
      <w:r w:rsidRPr="00770171">
        <w:rPr>
          <w:rFonts w:ascii="宋体" w:hAnsi="宋体" w:cs="黑体" w:hint="eastAsia"/>
          <w:sz w:val="28"/>
          <w:szCs w:val="28"/>
        </w:rPr>
        <w:t xml:space="preserve">】36000/人                  </w:t>
      </w:r>
    </w:p>
    <w:p w:rsidR="003B68DE" w:rsidRPr="00770171" w:rsidRDefault="003B68DE" w:rsidP="004F4368">
      <w:pPr>
        <w:spacing w:beforeLines="50" w:afterLines="50" w:line="360" w:lineRule="auto"/>
        <w:jc w:val="left"/>
        <w:rPr>
          <w:rFonts w:ascii="宋体" w:hAnsi="宋体"/>
          <w:sz w:val="24"/>
          <w:szCs w:val="24"/>
        </w:rPr>
      </w:pPr>
    </w:p>
    <w:p w:rsidR="003B68DE" w:rsidRPr="00770171" w:rsidRDefault="003B68DE" w:rsidP="004F4368">
      <w:pPr>
        <w:spacing w:beforeLines="50" w:afterLines="50" w:line="360" w:lineRule="auto"/>
        <w:jc w:val="left"/>
        <w:rPr>
          <w:rFonts w:ascii="宋体" w:hAnsi="宋体"/>
          <w:sz w:val="24"/>
          <w:szCs w:val="24"/>
        </w:rPr>
      </w:pPr>
    </w:p>
    <w:p w:rsidR="003B68DE" w:rsidRPr="00770171" w:rsidRDefault="00B571BA">
      <w:pPr>
        <w:jc w:val="center"/>
        <w:rPr>
          <w:rFonts w:ascii="宋体" w:hAnsi="宋体"/>
          <w:sz w:val="36"/>
          <w:szCs w:val="36"/>
        </w:rPr>
      </w:pPr>
      <w:r w:rsidRPr="00770171">
        <w:rPr>
          <w:rFonts w:ascii="宋体" w:hAnsi="宋体" w:hint="eastAsia"/>
          <w:sz w:val="36"/>
          <w:szCs w:val="36"/>
        </w:rPr>
        <w:t>校方通用报名表</w:t>
      </w:r>
    </w:p>
    <w:p w:rsidR="003B68DE" w:rsidRPr="00770171" w:rsidRDefault="003B68DE">
      <w:pPr>
        <w:jc w:val="left"/>
        <w:rPr>
          <w:rFonts w:ascii="宋体" w:hAnsi="宋体"/>
          <w:szCs w:val="21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7"/>
        <w:gridCol w:w="1217"/>
        <w:gridCol w:w="1217"/>
        <w:gridCol w:w="1135"/>
        <w:gridCol w:w="1300"/>
        <w:gridCol w:w="2436"/>
      </w:tblGrid>
      <w:tr w:rsidR="003B68DE" w:rsidRPr="00770171">
        <w:trPr>
          <w:trHeight w:val="456"/>
        </w:trPr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135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217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籍   贯</w:t>
            </w:r>
          </w:p>
        </w:tc>
        <w:tc>
          <w:tcPr>
            <w:tcW w:w="1135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436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1217" w:type="dxa"/>
            <w:vMerge w:val="restart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学    历</w:t>
            </w:r>
          </w:p>
        </w:tc>
        <w:tc>
          <w:tcPr>
            <w:tcW w:w="2352" w:type="dxa"/>
            <w:gridSpan w:val="2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1217" w:type="dxa"/>
            <w:vMerge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学    位</w:t>
            </w:r>
          </w:p>
        </w:tc>
        <w:tc>
          <w:tcPr>
            <w:tcW w:w="2352" w:type="dxa"/>
            <w:gridSpan w:val="2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436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5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3B68DE" w:rsidRPr="00770171" w:rsidRDefault="00835E2F">
            <w:pPr>
              <w:ind w:firstLineChars="150" w:firstLine="31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pict>
                <v:rect id="_x0000_s1026" style="position:absolute;left:0;text-align:left;margin-left:.65pt;margin-top:2.35pt;width:9.8pt;height:9.75pt;z-index:251659264;mso-position-horizontal-relative:text;mso-position-vertical-relative:text"/>
              </w:pict>
            </w:r>
            <w:r>
              <w:rPr>
                <w:rFonts w:ascii="宋体" w:hAnsi="宋体"/>
                <w:szCs w:val="21"/>
              </w:rPr>
              <w:pict>
                <v:rect id="_x0000_s1027" style="position:absolute;left:0;text-align:left;margin-left:59.95pt;margin-top:2.35pt;width:9.75pt;height:9.75pt;z-index:251658240;mso-position-horizontal-relative:text;mso-position-vertical-relative:text"/>
              </w:pict>
            </w:r>
            <w:bookmarkStart w:id="0" w:name="_GoBack"/>
            <w:r>
              <w:rPr>
                <w:rFonts w:ascii="宋体" w:hAnsi="宋体"/>
                <w:szCs w:val="21"/>
              </w:rPr>
              <w:pict>
                <v:rect id="_x0000_s1028" style="position:absolute;left:0;text-align:left;margin-left:118.4pt;margin-top:2.35pt;width:8.3pt;height:9.75pt;z-index:251660288;mso-position-horizontal-relative:text;mso-position-vertical-relative:text"/>
              </w:pict>
            </w:r>
            <w:bookmarkEnd w:id="0"/>
            <w:r w:rsidR="00B571BA" w:rsidRPr="00770171">
              <w:rPr>
                <w:rFonts w:ascii="宋体" w:hAnsi="宋体" w:hint="eastAsia"/>
                <w:szCs w:val="21"/>
              </w:rPr>
              <w:t>银行汇款   现今付款   电子转账</w:t>
            </w:r>
          </w:p>
        </w:tc>
      </w:tr>
      <w:tr w:rsidR="003B68DE" w:rsidRPr="00770171"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3569" w:type="dxa"/>
            <w:gridSpan w:val="3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传   真</w:t>
            </w:r>
          </w:p>
        </w:tc>
        <w:tc>
          <w:tcPr>
            <w:tcW w:w="2436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569" w:type="dxa"/>
            <w:gridSpan w:val="3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邮   编</w:t>
            </w:r>
          </w:p>
        </w:tc>
        <w:tc>
          <w:tcPr>
            <w:tcW w:w="2436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00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1217" w:type="dxa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8522" w:type="dxa"/>
            <w:gridSpan w:val="6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工作简历</w:t>
            </w:r>
          </w:p>
        </w:tc>
      </w:tr>
      <w:tr w:rsidR="003B68DE" w:rsidRPr="00770171">
        <w:trPr>
          <w:trHeight w:val="2425"/>
        </w:trPr>
        <w:tc>
          <w:tcPr>
            <w:tcW w:w="8522" w:type="dxa"/>
            <w:gridSpan w:val="6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3B68DE" w:rsidRPr="00770171">
        <w:tc>
          <w:tcPr>
            <w:tcW w:w="8522" w:type="dxa"/>
            <w:gridSpan w:val="6"/>
          </w:tcPr>
          <w:p w:rsidR="003B68DE" w:rsidRPr="00770171" w:rsidRDefault="00B571BA">
            <w:pPr>
              <w:jc w:val="left"/>
              <w:rPr>
                <w:rFonts w:ascii="宋体" w:hAnsi="宋体"/>
                <w:szCs w:val="21"/>
              </w:rPr>
            </w:pPr>
            <w:r w:rsidRPr="00770171">
              <w:rPr>
                <w:rFonts w:ascii="宋体" w:hAnsi="宋体" w:hint="eastAsia"/>
                <w:szCs w:val="21"/>
              </w:rPr>
              <w:t>学习建议</w:t>
            </w:r>
          </w:p>
        </w:tc>
      </w:tr>
      <w:tr w:rsidR="003B68DE" w:rsidRPr="00770171">
        <w:trPr>
          <w:trHeight w:val="2493"/>
        </w:trPr>
        <w:tc>
          <w:tcPr>
            <w:tcW w:w="8522" w:type="dxa"/>
            <w:gridSpan w:val="6"/>
          </w:tcPr>
          <w:p w:rsidR="003B68DE" w:rsidRPr="00770171" w:rsidRDefault="003B68DE"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3B68DE" w:rsidRPr="00770171" w:rsidRDefault="003B68DE">
      <w:pPr>
        <w:rPr>
          <w:rFonts w:ascii="宋体" w:hAnsi="宋体" w:cs="黑体"/>
          <w:color w:val="000000"/>
          <w:sz w:val="24"/>
          <w:szCs w:val="24"/>
        </w:rPr>
      </w:pPr>
    </w:p>
    <w:sectPr w:rsidR="003B68DE" w:rsidRPr="00770171" w:rsidSect="003B68DE">
      <w:headerReference w:type="default" r:id="rId9"/>
      <w:footerReference w:type="even" r:id="rId10"/>
      <w:footerReference w:type="default" r:id="rId11"/>
      <w:pgSz w:w="11906" w:h="16838"/>
      <w:pgMar w:top="907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8F" w:rsidRDefault="007C4E8F" w:rsidP="003B68DE">
      <w:r>
        <w:separator/>
      </w:r>
    </w:p>
  </w:endnote>
  <w:endnote w:type="continuationSeparator" w:id="0">
    <w:p w:rsidR="007C4E8F" w:rsidRDefault="007C4E8F" w:rsidP="003B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DE" w:rsidRDefault="00835E2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71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68DE" w:rsidRDefault="003B68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DE" w:rsidRDefault="00835E2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571B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4368">
      <w:rPr>
        <w:rStyle w:val="a8"/>
        <w:noProof/>
      </w:rPr>
      <w:t>4</w:t>
    </w:r>
    <w:r>
      <w:rPr>
        <w:rStyle w:val="a8"/>
      </w:rPr>
      <w:fldChar w:fldCharType="end"/>
    </w:r>
  </w:p>
  <w:p w:rsidR="003B68DE" w:rsidRDefault="003B68DE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8F" w:rsidRDefault="007C4E8F" w:rsidP="003B68DE">
      <w:r>
        <w:separator/>
      </w:r>
    </w:p>
  </w:footnote>
  <w:footnote w:type="continuationSeparator" w:id="0">
    <w:p w:rsidR="007C4E8F" w:rsidRDefault="007C4E8F" w:rsidP="003B6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DE" w:rsidRDefault="00B571BA">
    <w:pPr>
      <w:pStyle w:val="a6"/>
      <w:ind w:firstLineChars="100" w:firstLine="180"/>
      <w:jc w:val="both"/>
    </w:pPr>
    <w:r>
      <w:rPr>
        <w:noProof/>
      </w:rPr>
      <w:drawing>
        <wp:inline distT="0" distB="0" distL="0" distR="0">
          <wp:extent cx="1466850" cy="586740"/>
          <wp:effectExtent l="0" t="0" r="0" b="0"/>
          <wp:docPr id="8" name="图片 7" descr="透明篆体西姆logo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7" descr="透明篆体西姆logo(1)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692" cy="58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8DE" w:rsidRDefault="003B68DE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C5F"/>
    <w:multiLevelType w:val="multilevel"/>
    <w:tmpl w:val="12515C5F"/>
    <w:lvl w:ilvl="0">
      <w:start w:val="1"/>
      <w:numFmt w:val="bullet"/>
      <w:lvlText w:val="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  <w:color w:val="000000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3D3A18"/>
    <w:multiLevelType w:val="multilevel"/>
    <w:tmpl w:val="133D3A18"/>
    <w:lvl w:ilvl="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  <w:color w:val="auto"/>
      </w:rPr>
    </w:lvl>
    <w:lvl w:ilvl="2"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ascii="宋体" w:eastAsia="宋体" w:hAnsi="宋体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897"/>
    <w:rsid w:val="00001423"/>
    <w:rsid w:val="0002060C"/>
    <w:rsid w:val="00021338"/>
    <w:rsid w:val="0002314E"/>
    <w:rsid w:val="00027DB0"/>
    <w:rsid w:val="00036D96"/>
    <w:rsid w:val="00064414"/>
    <w:rsid w:val="00065F3B"/>
    <w:rsid w:val="00073418"/>
    <w:rsid w:val="00074227"/>
    <w:rsid w:val="00076597"/>
    <w:rsid w:val="00083B96"/>
    <w:rsid w:val="000860A9"/>
    <w:rsid w:val="00090757"/>
    <w:rsid w:val="000A389D"/>
    <w:rsid w:val="000B0C7E"/>
    <w:rsid w:val="000B4012"/>
    <w:rsid w:val="000C500C"/>
    <w:rsid w:val="000D78AF"/>
    <w:rsid w:val="000E1B98"/>
    <w:rsid w:val="000F3748"/>
    <w:rsid w:val="000F7B20"/>
    <w:rsid w:val="00103DB5"/>
    <w:rsid w:val="0011690A"/>
    <w:rsid w:val="0011709C"/>
    <w:rsid w:val="00122113"/>
    <w:rsid w:val="001248C3"/>
    <w:rsid w:val="0015071F"/>
    <w:rsid w:val="00153F78"/>
    <w:rsid w:val="0015647E"/>
    <w:rsid w:val="00157110"/>
    <w:rsid w:val="001603D9"/>
    <w:rsid w:val="00162741"/>
    <w:rsid w:val="00163C4D"/>
    <w:rsid w:val="00166935"/>
    <w:rsid w:val="001755B2"/>
    <w:rsid w:val="00177706"/>
    <w:rsid w:val="0019629E"/>
    <w:rsid w:val="0019727B"/>
    <w:rsid w:val="001B746E"/>
    <w:rsid w:val="001C34DF"/>
    <w:rsid w:val="001D2FA5"/>
    <w:rsid w:val="001D5BF1"/>
    <w:rsid w:val="001F648D"/>
    <w:rsid w:val="002126DB"/>
    <w:rsid w:val="00222EC6"/>
    <w:rsid w:val="00223890"/>
    <w:rsid w:val="00225B84"/>
    <w:rsid w:val="00234962"/>
    <w:rsid w:val="00235229"/>
    <w:rsid w:val="00241137"/>
    <w:rsid w:val="0024133F"/>
    <w:rsid w:val="00246B60"/>
    <w:rsid w:val="00255A6C"/>
    <w:rsid w:val="002628DA"/>
    <w:rsid w:val="00267DCF"/>
    <w:rsid w:val="00275D70"/>
    <w:rsid w:val="0028124C"/>
    <w:rsid w:val="002825FC"/>
    <w:rsid w:val="00284BA4"/>
    <w:rsid w:val="0029064E"/>
    <w:rsid w:val="002B4241"/>
    <w:rsid w:val="002C7FCB"/>
    <w:rsid w:val="002D4FDC"/>
    <w:rsid w:val="002D564C"/>
    <w:rsid w:val="002E6677"/>
    <w:rsid w:val="002F13DC"/>
    <w:rsid w:val="002F7887"/>
    <w:rsid w:val="0031627C"/>
    <w:rsid w:val="00322857"/>
    <w:rsid w:val="00324894"/>
    <w:rsid w:val="0032622C"/>
    <w:rsid w:val="00330524"/>
    <w:rsid w:val="00330695"/>
    <w:rsid w:val="00330CFD"/>
    <w:rsid w:val="0033394D"/>
    <w:rsid w:val="00347104"/>
    <w:rsid w:val="003529C6"/>
    <w:rsid w:val="00355DBF"/>
    <w:rsid w:val="003638BB"/>
    <w:rsid w:val="00382F62"/>
    <w:rsid w:val="00385C70"/>
    <w:rsid w:val="00395092"/>
    <w:rsid w:val="003979E9"/>
    <w:rsid w:val="003A346F"/>
    <w:rsid w:val="003A5264"/>
    <w:rsid w:val="003B605A"/>
    <w:rsid w:val="003B68DE"/>
    <w:rsid w:val="003C5E53"/>
    <w:rsid w:val="003D319E"/>
    <w:rsid w:val="003D4E50"/>
    <w:rsid w:val="003D5DD9"/>
    <w:rsid w:val="003D67F3"/>
    <w:rsid w:val="003F1BFB"/>
    <w:rsid w:val="003F53EB"/>
    <w:rsid w:val="003F61A8"/>
    <w:rsid w:val="00400139"/>
    <w:rsid w:val="00402002"/>
    <w:rsid w:val="00405CEA"/>
    <w:rsid w:val="00414FF9"/>
    <w:rsid w:val="00426272"/>
    <w:rsid w:val="00427714"/>
    <w:rsid w:val="004366A2"/>
    <w:rsid w:val="00436A24"/>
    <w:rsid w:val="00442752"/>
    <w:rsid w:val="00444D2C"/>
    <w:rsid w:val="00454756"/>
    <w:rsid w:val="0045635E"/>
    <w:rsid w:val="004642F3"/>
    <w:rsid w:val="004736E2"/>
    <w:rsid w:val="00483478"/>
    <w:rsid w:val="004861BE"/>
    <w:rsid w:val="00491B0F"/>
    <w:rsid w:val="00491D57"/>
    <w:rsid w:val="00496E63"/>
    <w:rsid w:val="004B1940"/>
    <w:rsid w:val="004B5992"/>
    <w:rsid w:val="004D2B73"/>
    <w:rsid w:val="004D383B"/>
    <w:rsid w:val="004D5E2F"/>
    <w:rsid w:val="004E336C"/>
    <w:rsid w:val="004E3722"/>
    <w:rsid w:val="004E4809"/>
    <w:rsid w:val="004F4368"/>
    <w:rsid w:val="005200C5"/>
    <w:rsid w:val="00522C5A"/>
    <w:rsid w:val="00522D3F"/>
    <w:rsid w:val="0052793A"/>
    <w:rsid w:val="0053686F"/>
    <w:rsid w:val="00536BE3"/>
    <w:rsid w:val="0054104F"/>
    <w:rsid w:val="00552C42"/>
    <w:rsid w:val="00560C99"/>
    <w:rsid w:val="00577C80"/>
    <w:rsid w:val="005818DF"/>
    <w:rsid w:val="005A4F41"/>
    <w:rsid w:val="005A6376"/>
    <w:rsid w:val="005B42D7"/>
    <w:rsid w:val="005C3461"/>
    <w:rsid w:val="005C461C"/>
    <w:rsid w:val="005D40BA"/>
    <w:rsid w:val="005E0A17"/>
    <w:rsid w:val="005F07DF"/>
    <w:rsid w:val="005F6342"/>
    <w:rsid w:val="006143F7"/>
    <w:rsid w:val="00617F6B"/>
    <w:rsid w:val="00623C1E"/>
    <w:rsid w:val="00631E09"/>
    <w:rsid w:val="006329A0"/>
    <w:rsid w:val="00641E0A"/>
    <w:rsid w:val="006433D4"/>
    <w:rsid w:val="00654649"/>
    <w:rsid w:val="0065482B"/>
    <w:rsid w:val="006572D5"/>
    <w:rsid w:val="006578A2"/>
    <w:rsid w:val="00660B1A"/>
    <w:rsid w:val="006739B7"/>
    <w:rsid w:val="00676708"/>
    <w:rsid w:val="00686B9F"/>
    <w:rsid w:val="006B6073"/>
    <w:rsid w:val="006C0689"/>
    <w:rsid w:val="006C162F"/>
    <w:rsid w:val="006C3261"/>
    <w:rsid w:val="006C43C5"/>
    <w:rsid w:val="006C5D5F"/>
    <w:rsid w:val="006D4D9C"/>
    <w:rsid w:val="006F3EDD"/>
    <w:rsid w:val="0070000D"/>
    <w:rsid w:val="00704E61"/>
    <w:rsid w:val="007059CE"/>
    <w:rsid w:val="00715A0D"/>
    <w:rsid w:val="007166BE"/>
    <w:rsid w:val="0072224F"/>
    <w:rsid w:val="00725142"/>
    <w:rsid w:val="00741C9E"/>
    <w:rsid w:val="007439CA"/>
    <w:rsid w:val="00751218"/>
    <w:rsid w:val="007538F8"/>
    <w:rsid w:val="00754AC1"/>
    <w:rsid w:val="00756BDB"/>
    <w:rsid w:val="007576E1"/>
    <w:rsid w:val="00762EA9"/>
    <w:rsid w:val="00763D8E"/>
    <w:rsid w:val="00764CF0"/>
    <w:rsid w:val="00770171"/>
    <w:rsid w:val="00776E40"/>
    <w:rsid w:val="00777A1E"/>
    <w:rsid w:val="0078122B"/>
    <w:rsid w:val="007813FE"/>
    <w:rsid w:val="00784D6A"/>
    <w:rsid w:val="007944DE"/>
    <w:rsid w:val="00794535"/>
    <w:rsid w:val="00796F22"/>
    <w:rsid w:val="007B0C7C"/>
    <w:rsid w:val="007C4E8F"/>
    <w:rsid w:val="007D0622"/>
    <w:rsid w:val="007D423B"/>
    <w:rsid w:val="007D6E71"/>
    <w:rsid w:val="007E7486"/>
    <w:rsid w:val="00807358"/>
    <w:rsid w:val="008234DB"/>
    <w:rsid w:val="008269E8"/>
    <w:rsid w:val="00835E2F"/>
    <w:rsid w:val="00840F08"/>
    <w:rsid w:val="00845DF8"/>
    <w:rsid w:val="00874C6F"/>
    <w:rsid w:val="00877717"/>
    <w:rsid w:val="008821A0"/>
    <w:rsid w:val="00887FB8"/>
    <w:rsid w:val="00894876"/>
    <w:rsid w:val="00895126"/>
    <w:rsid w:val="008957B1"/>
    <w:rsid w:val="00895A5C"/>
    <w:rsid w:val="0089725B"/>
    <w:rsid w:val="008A0DE8"/>
    <w:rsid w:val="008B0F65"/>
    <w:rsid w:val="008C1FC2"/>
    <w:rsid w:val="008C2D7F"/>
    <w:rsid w:val="008C2FFA"/>
    <w:rsid w:val="008C687F"/>
    <w:rsid w:val="008D3079"/>
    <w:rsid w:val="008D5295"/>
    <w:rsid w:val="008D56CE"/>
    <w:rsid w:val="008D6043"/>
    <w:rsid w:val="008E08AC"/>
    <w:rsid w:val="008E19E5"/>
    <w:rsid w:val="008E251E"/>
    <w:rsid w:val="008E70A3"/>
    <w:rsid w:val="00905124"/>
    <w:rsid w:val="0091501F"/>
    <w:rsid w:val="00917416"/>
    <w:rsid w:val="00921B76"/>
    <w:rsid w:val="009260D6"/>
    <w:rsid w:val="00926427"/>
    <w:rsid w:val="00930E44"/>
    <w:rsid w:val="009316FA"/>
    <w:rsid w:val="00937938"/>
    <w:rsid w:val="009518F1"/>
    <w:rsid w:val="00963F10"/>
    <w:rsid w:val="00980FC9"/>
    <w:rsid w:val="0099147C"/>
    <w:rsid w:val="00996E1D"/>
    <w:rsid w:val="009A7F86"/>
    <w:rsid w:val="009B0161"/>
    <w:rsid w:val="009B6A69"/>
    <w:rsid w:val="009B6DB4"/>
    <w:rsid w:val="009C4A61"/>
    <w:rsid w:val="009D2E52"/>
    <w:rsid w:val="009E2F97"/>
    <w:rsid w:val="009E3DF8"/>
    <w:rsid w:val="009E7114"/>
    <w:rsid w:val="009F72AC"/>
    <w:rsid w:val="00A10648"/>
    <w:rsid w:val="00A14C25"/>
    <w:rsid w:val="00A23402"/>
    <w:rsid w:val="00A35AC1"/>
    <w:rsid w:val="00A3607E"/>
    <w:rsid w:val="00A36CF2"/>
    <w:rsid w:val="00A404A6"/>
    <w:rsid w:val="00A4071F"/>
    <w:rsid w:val="00A43516"/>
    <w:rsid w:val="00A54780"/>
    <w:rsid w:val="00A5788A"/>
    <w:rsid w:val="00A6616E"/>
    <w:rsid w:val="00A77A53"/>
    <w:rsid w:val="00A87185"/>
    <w:rsid w:val="00A87EE9"/>
    <w:rsid w:val="00A903BD"/>
    <w:rsid w:val="00A9244B"/>
    <w:rsid w:val="00A94A51"/>
    <w:rsid w:val="00A94AA5"/>
    <w:rsid w:val="00AA6340"/>
    <w:rsid w:val="00AB1258"/>
    <w:rsid w:val="00AB2852"/>
    <w:rsid w:val="00AB3DAD"/>
    <w:rsid w:val="00AC1531"/>
    <w:rsid w:val="00AC7F81"/>
    <w:rsid w:val="00AD4EED"/>
    <w:rsid w:val="00AD6A90"/>
    <w:rsid w:val="00AE099D"/>
    <w:rsid w:val="00AE240F"/>
    <w:rsid w:val="00B10EA7"/>
    <w:rsid w:val="00B139B4"/>
    <w:rsid w:val="00B21DC3"/>
    <w:rsid w:val="00B30302"/>
    <w:rsid w:val="00B345A3"/>
    <w:rsid w:val="00B40131"/>
    <w:rsid w:val="00B56FB6"/>
    <w:rsid w:val="00B571BA"/>
    <w:rsid w:val="00B73C98"/>
    <w:rsid w:val="00B766A0"/>
    <w:rsid w:val="00B809F6"/>
    <w:rsid w:val="00B83AF5"/>
    <w:rsid w:val="00B9030D"/>
    <w:rsid w:val="00B927DE"/>
    <w:rsid w:val="00BA500F"/>
    <w:rsid w:val="00BF2326"/>
    <w:rsid w:val="00C03B02"/>
    <w:rsid w:val="00C04078"/>
    <w:rsid w:val="00C040F8"/>
    <w:rsid w:val="00C12CEE"/>
    <w:rsid w:val="00C1402E"/>
    <w:rsid w:val="00C14E87"/>
    <w:rsid w:val="00C31F4C"/>
    <w:rsid w:val="00C37821"/>
    <w:rsid w:val="00C441A0"/>
    <w:rsid w:val="00C46948"/>
    <w:rsid w:val="00C5411C"/>
    <w:rsid w:val="00C55AC7"/>
    <w:rsid w:val="00C638DD"/>
    <w:rsid w:val="00C72C9C"/>
    <w:rsid w:val="00C77800"/>
    <w:rsid w:val="00C82897"/>
    <w:rsid w:val="00C84434"/>
    <w:rsid w:val="00C92483"/>
    <w:rsid w:val="00CA0EB6"/>
    <w:rsid w:val="00CA1E5E"/>
    <w:rsid w:val="00CA3F94"/>
    <w:rsid w:val="00CC0FF1"/>
    <w:rsid w:val="00CD175B"/>
    <w:rsid w:val="00CD294E"/>
    <w:rsid w:val="00CD503C"/>
    <w:rsid w:val="00CE4CA9"/>
    <w:rsid w:val="00CE6199"/>
    <w:rsid w:val="00CF1D71"/>
    <w:rsid w:val="00CF4BD5"/>
    <w:rsid w:val="00CF55F6"/>
    <w:rsid w:val="00D00166"/>
    <w:rsid w:val="00D03CDA"/>
    <w:rsid w:val="00D058FC"/>
    <w:rsid w:val="00D10B59"/>
    <w:rsid w:val="00D118BE"/>
    <w:rsid w:val="00D358AB"/>
    <w:rsid w:val="00D4239A"/>
    <w:rsid w:val="00D500BF"/>
    <w:rsid w:val="00D5249A"/>
    <w:rsid w:val="00D56AEC"/>
    <w:rsid w:val="00D8629E"/>
    <w:rsid w:val="00D87244"/>
    <w:rsid w:val="00DA02FD"/>
    <w:rsid w:val="00DA128A"/>
    <w:rsid w:val="00DA3CBA"/>
    <w:rsid w:val="00DA6B6B"/>
    <w:rsid w:val="00DA6B72"/>
    <w:rsid w:val="00DA720B"/>
    <w:rsid w:val="00DB39F8"/>
    <w:rsid w:val="00DB7F7B"/>
    <w:rsid w:val="00DC4A3F"/>
    <w:rsid w:val="00DD163D"/>
    <w:rsid w:val="00DD5089"/>
    <w:rsid w:val="00DE2DB4"/>
    <w:rsid w:val="00DE6D41"/>
    <w:rsid w:val="00DE7F88"/>
    <w:rsid w:val="00DF7010"/>
    <w:rsid w:val="00E00D15"/>
    <w:rsid w:val="00E033DD"/>
    <w:rsid w:val="00E20C1E"/>
    <w:rsid w:val="00E21A14"/>
    <w:rsid w:val="00E2456F"/>
    <w:rsid w:val="00E24954"/>
    <w:rsid w:val="00E25998"/>
    <w:rsid w:val="00E46B2E"/>
    <w:rsid w:val="00E52309"/>
    <w:rsid w:val="00E5275D"/>
    <w:rsid w:val="00E564CA"/>
    <w:rsid w:val="00E761C6"/>
    <w:rsid w:val="00EA17E0"/>
    <w:rsid w:val="00EA719C"/>
    <w:rsid w:val="00EB6797"/>
    <w:rsid w:val="00EC444B"/>
    <w:rsid w:val="00EC64F9"/>
    <w:rsid w:val="00ED3275"/>
    <w:rsid w:val="00EF5636"/>
    <w:rsid w:val="00EF7F34"/>
    <w:rsid w:val="00F071FE"/>
    <w:rsid w:val="00F14900"/>
    <w:rsid w:val="00F21C42"/>
    <w:rsid w:val="00F22893"/>
    <w:rsid w:val="00F244C4"/>
    <w:rsid w:val="00F27B9F"/>
    <w:rsid w:val="00F32A79"/>
    <w:rsid w:val="00F36450"/>
    <w:rsid w:val="00F533A2"/>
    <w:rsid w:val="00F60C93"/>
    <w:rsid w:val="00F67BE5"/>
    <w:rsid w:val="00F70824"/>
    <w:rsid w:val="00F72DA2"/>
    <w:rsid w:val="00F76EDD"/>
    <w:rsid w:val="00F829D1"/>
    <w:rsid w:val="00F84B01"/>
    <w:rsid w:val="00F8559A"/>
    <w:rsid w:val="00F90762"/>
    <w:rsid w:val="00F957F6"/>
    <w:rsid w:val="00FA5386"/>
    <w:rsid w:val="00FB281A"/>
    <w:rsid w:val="00FD175F"/>
    <w:rsid w:val="00FE3165"/>
    <w:rsid w:val="00FE3DF9"/>
    <w:rsid w:val="323C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8D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3B68DE"/>
    <w:rPr>
      <w:rFonts w:ascii="宋体"/>
      <w:sz w:val="18"/>
      <w:szCs w:val="18"/>
    </w:rPr>
  </w:style>
  <w:style w:type="paragraph" w:styleId="a4">
    <w:name w:val="Balloon Text"/>
    <w:basedOn w:val="a"/>
    <w:link w:val="Char0"/>
    <w:unhideWhenUsed/>
    <w:rsid w:val="003B68DE"/>
    <w:rPr>
      <w:sz w:val="18"/>
      <w:szCs w:val="18"/>
    </w:rPr>
  </w:style>
  <w:style w:type="paragraph" w:styleId="a5">
    <w:name w:val="footer"/>
    <w:basedOn w:val="a"/>
    <w:rsid w:val="003B6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rsid w:val="003B6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3B68DE"/>
    <w:rPr>
      <w:b/>
      <w:bCs/>
    </w:rPr>
  </w:style>
  <w:style w:type="character" w:styleId="a8">
    <w:name w:val="page number"/>
    <w:basedOn w:val="a0"/>
    <w:rsid w:val="003B68DE"/>
  </w:style>
  <w:style w:type="character" w:styleId="a9">
    <w:name w:val="Emphasis"/>
    <w:basedOn w:val="a0"/>
    <w:uiPriority w:val="20"/>
    <w:qFormat/>
    <w:rsid w:val="003B68DE"/>
    <w:rPr>
      <w:i/>
      <w:iCs/>
    </w:rPr>
  </w:style>
  <w:style w:type="character" w:styleId="aa">
    <w:name w:val="Hyperlink"/>
    <w:unhideWhenUsed/>
    <w:rsid w:val="003B68DE"/>
    <w:rPr>
      <w:color w:val="0000FF"/>
      <w:u w:val="single"/>
    </w:rPr>
  </w:style>
  <w:style w:type="paragraph" w:customStyle="1" w:styleId="Char10">
    <w:name w:val="Char1"/>
    <w:basedOn w:val="a"/>
    <w:qFormat/>
    <w:rsid w:val="003B68DE"/>
    <w:rPr>
      <w:rFonts w:ascii="Tahoma" w:hAnsi="Tahoma"/>
      <w:sz w:val="24"/>
      <w:szCs w:val="20"/>
    </w:rPr>
  </w:style>
  <w:style w:type="character" w:customStyle="1" w:styleId="Char">
    <w:name w:val="文档结构图 Char"/>
    <w:basedOn w:val="a0"/>
    <w:link w:val="a3"/>
    <w:qFormat/>
    <w:rsid w:val="003B68DE"/>
    <w:rPr>
      <w:rFonts w:ascii="宋体" w:hAnsi="Calibri"/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rsid w:val="003B68DE"/>
    <w:rPr>
      <w:rFonts w:ascii="Calibri" w:hAnsi="Calibri"/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B68D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8E9C8E-C525-41AD-8DAF-465DD1912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317</Words>
  <Characters>1810</Characters>
  <Application>Microsoft Office Word</Application>
  <DocSecurity>0</DocSecurity>
  <Lines>15</Lines>
  <Paragraphs>4</Paragraphs>
  <ScaleCrop>false</ScaleCrop>
  <Company>微软用户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26</cp:revision>
  <dcterms:created xsi:type="dcterms:W3CDTF">2017-09-11T06:46:00Z</dcterms:created>
  <dcterms:modified xsi:type="dcterms:W3CDTF">2017-09-18T08:00:00Z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