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99" w:rsidRPr="00B326F2" w:rsidRDefault="007A223A" w:rsidP="00F55E66">
      <w:pPr>
        <w:tabs>
          <w:tab w:val="left" w:pos="567"/>
        </w:tabs>
        <w:ind w:leftChars="-67" w:left="-11" w:hangingChars="27" w:hanging="130"/>
        <w:jc w:val="center"/>
        <w:rPr>
          <w:rFonts w:ascii="宋体" w:eastAsia="宋体" w:hAnsi="宋体" w:cs="Times New Roman"/>
          <w:b/>
          <w:color w:val="000000" w:themeColor="text1"/>
          <w:kern w:val="0"/>
          <w:sz w:val="13"/>
          <w:szCs w:val="13"/>
        </w:rPr>
      </w:pPr>
      <w:r w:rsidRPr="00B326F2">
        <w:rPr>
          <w:rFonts w:ascii="宋体" w:eastAsia="宋体" w:hAnsi="宋体" w:cs="新宋体" w:hint="eastAsia"/>
          <w:noProof/>
          <w:sz w:val="48"/>
          <w:szCs w:val="4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-914400</wp:posOffset>
            </wp:positionV>
            <wp:extent cx="7543800" cy="1304925"/>
            <wp:effectExtent l="0" t="0" r="0" b="9525"/>
            <wp:wrapSquare wrapText="bothSides"/>
            <wp:docPr id="9" name="图片 9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516" w:rsidRPr="00C40595" w:rsidRDefault="00FA492C" w:rsidP="00C40595">
      <w:pPr>
        <w:ind w:leftChars="-67" w:hangingChars="27" w:hanging="141"/>
        <w:jc w:val="center"/>
        <w:rPr>
          <w:rFonts w:ascii="宋体" w:eastAsia="宋体" w:hAnsi="宋体" w:cs="Times New Roman"/>
          <w:b/>
          <w:color w:val="000000" w:themeColor="text1"/>
          <w:kern w:val="0"/>
          <w:sz w:val="52"/>
          <w:szCs w:val="52"/>
        </w:rPr>
      </w:pPr>
      <w:r w:rsidRPr="00B326F2">
        <w:rPr>
          <w:rFonts w:ascii="宋体" w:eastAsia="宋体" w:hAnsi="宋体" w:cs="Times New Roman" w:hint="eastAsia"/>
          <w:b/>
          <w:color w:val="000000" w:themeColor="text1"/>
          <w:kern w:val="0"/>
          <w:sz w:val="52"/>
          <w:szCs w:val="52"/>
        </w:rPr>
        <w:t xml:space="preserve">公 司 治 理 与 资 本 运 </w:t>
      </w:r>
      <w:r w:rsidR="001F4F2D" w:rsidRPr="00B326F2">
        <w:rPr>
          <w:rFonts w:ascii="宋体" w:eastAsia="宋体" w:hAnsi="宋体" w:cs="Times New Roman" w:hint="eastAsia"/>
          <w:b/>
          <w:color w:val="000000" w:themeColor="text1"/>
          <w:kern w:val="0"/>
          <w:sz w:val="52"/>
          <w:szCs w:val="52"/>
        </w:rPr>
        <w:t>营</w:t>
      </w:r>
      <w:r w:rsidRPr="00B326F2">
        <w:rPr>
          <w:rFonts w:ascii="宋体" w:eastAsia="宋体" w:hAnsi="宋体" w:cs="Times New Roman" w:hint="eastAsia"/>
          <w:b/>
          <w:color w:val="000000" w:themeColor="text1"/>
          <w:kern w:val="0"/>
          <w:sz w:val="52"/>
          <w:szCs w:val="52"/>
        </w:rPr>
        <w:t xml:space="preserve"> 总 裁 班</w:t>
      </w:r>
      <w:bookmarkStart w:id="0" w:name="_GoBack"/>
      <w:bookmarkEnd w:id="0"/>
    </w:p>
    <w:p w:rsidR="008C2704" w:rsidRPr="00B326F2" w:rsidRDefault="007D50A5">
      <w:pPr>
        <w:spacing w:line="360" w:lineRule="auto"/>
        <w:rPr>
          <w:rFonts w:ascii="宋体" w:eastAsia="宋体" w:hAnsi="宋体"/>
          <w:b/>
          <w:bCs/>
          <w:color w:val="552579"/>
          <w:sz w:val="24"/>
        </w:rPr>
      </w:pPr>
      <w:r w:rsidRPr="007D50A5">
        <w:rPr>
          <w:rFonts w:ascii="宋体" w:eastAsia="宋体" w:hAnsi="宋体"/>
          <w:noProof/>
          <w:color w:val="7030A0"/>
          <w:sz w:val="44"/>
        </w:rPr>
        <w:pict>
          <v:rect id="矩形 1029" o:spid="_x0000_s1026" style="position:absolute;left:0;text-align:left;margin-left:-9.8pt;margin-top:14.7pt;width:498.15pt;height:104.25pt;z-index:-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J6gEAAKwDAAAOAAAAZHJzL2Uyb0RvYy54bWysU0uOEzEQ3SNxB8t70j8lIa10RogwbBCM&#10;NHCAiu3utuSfbE86OQ0SOw7BcRDXoOwOGT4bhNi4y67n56pXr7c3J63IUfggrelotSgpEYZZLs3Q&#10;0Q/vb589pyREMByUNaKjZxHoze7pk+3kWlHb0SouPEESE9rJdXSM0bVFEdgoNISFdcJgsrdeQ8St&#10;HwruYUJ2rYq6LFfFZD133jIRAp7u5yTdZf6+Fyy+6/sgIlEdxdpiXn1eD2ktdltoBw9ulOxSBvxD&#10;FRqkwUevVHuIQB68/INKS+ZtsH1cMKsL2/eSidwDdlOVv3VzP4ITuRcUJ7irTOH/0bK3xztPJMfZ&#10;bSgxoHFG3z5+/vrlE6nKepP0mVxoEXbv7vxlFzBMzZ56r9MX2yCnrOn5qqk4RcLwcNXUq2ZdU8Iw&#10;VzV1s1kvE2vxeN35EF8Lq0kKOupxaFlLOL4JcYb+gKTXjL2VSuE5tMqQqaObZb1EfkD79Aoihtph&#10;Q8EMmSZYJXm6km4EPxxeKk+OgIZYl035InsAq/kFlt7bQxhnXE7NVtEyiiQDtKMA/spwEs8ONTPo&#10;bpqK0YJTogT+DCnKyAhS/Q0Si1AGlUmCzxKn6GD5GUf04LwcRpSnyuqlDFoi63ixb/Lcz/vM9PiT&#10;7b4DAAD//wMAUEsDBBQABgAIAAAAIQDkK3Bz4QAAAAoBAAAPAAAAZHJzL2Rvd25yZXYueG1sTI/B&#10;TsMwDIbvSLxDZCRuW7qutLQ0nSYQJ9hhYwe4ZY1pqzVOabKtvD3mBEfbn35/f7mabC/OOPrOkYLF&#10;PAKBVDvTUaNg//Y8uwfhgyaje0eo4Bs9rKrrq1IXxl1oi+ddaASHkC+0gjaEoZDS1y1a7eduQOLb&#10;pxutDjyOjTSjvnC47WUcRam0uiP+0OoBH1usj7uTVbA8fsSv67uM4v37y1aaTTJ8PSVK3d5M6wcQ&#10;AafwB8OvPqtDxU4HdyLjRa9gtshTRhXEeQKCgTxLMxAHXiyzHGRVyv8Vqh8AAAD//wMAUEsBAi0A&#10;FAAGAAgAAAAhALaDOJL+AAAA4QEAABMAAAAAAAAAAAAAAAAAAAAAAFtDb250ZW50X1R5cGVzXS54&#10;bWxQSwECLQAUAAYACAAAACEAOP0h/9YAAACUAQAACwAAAAAAAAAAAAAAAAAvAQAAX3JlbHMvLnJl&#10;bHNQSwECLQAUAAYACAAAACEAb5CsSeoBAACsAwAADgAAAAAAAAAAAAAAAAAuAgAAZHJzL2Uyb0Rv&#10;Yy54bWxQSwECLQAUAAYACAAAACEA5Ctwc+EAAAAKAQAADwAAAAAAAAAAAAAAAABEBAAAZHJzL2Rv&#10;d25yZXYueG1sUEsFBgAAAAAEAAQA8wAAAFIFAAAAAA==&#10;" filled="f" strokecolor="#7030a0"/>
        </w:pict>
      </w:r>
    </w:p>
    <w:p w:rsidR="007D3658" w:rsidRDefault="00FA492C" w:rsidP="00C40595">
      <w:pPr>
        <w:spacing w:line="360" w:lineRule="auto"/>
        <w:rPr>
          <w:rFonts w:ascii="宋体" w:eastAsia="宋体" w:hAnsi="宋体"/>
          <w:bCs/>
          <w:color w:val="552579"/>
          <w:sz w:val="24"/>
        </w:rPr>
      </w:pPr>
      <w:r w:rsidRPr="00B326F2">
        <w:rPr>
          <w:rFonts w:ascii="宋体" w:eastAsia="宋体" w:hAnsi="宋体" w:hint="eastAsia"/>
          <w:bCs/>
          <w:color w:val="552579"/>
          <w:sz w:val="24"/>
        </w:rPr>
        <w:t>以</w:t>
      </w:r>
      <w:r w:rsidR="00B326F2" w:rsidRPr="00B326F2">
        <w:rPr>
          <w:rFonts w:ascii="宋体" w:eastAsia="宋体" w:hAnsi="宋体" w:hint="eastAsia"/>
          <w:bCs/>
          <w:color w:val="552579"/>
          <w:sz w:val="24"/>
        </w:rPr>
        <w:t>清大</w:t>
      </w:r>
      <w:r w:rsidRPr="00B326F2">
        <w:rPr>
          <w:rFonts w:ascii="宋体" w:eastAsia="宋体" w:hAnsi="宋体" w:hint="eastAsia"/>
          <w:bCs/>
          <w:color w:val="552579"/>
          <w:sz w:val="24"/>
        </w:rPr>
        <w:t>EMBA</w:t>
      </w:r>
      <w:r w:rsidR="008C2704" w:rsidRPr="00B326F2">
        <w:rPr>
          <w:rFonts w:ascii="宋体" w:eastAsia="宋体" w:hAnsi="宋体" w:hint="eastAsia"/>
          <w:bCs/>
          <w:color w:val="552579"/>
          <w:sz w:val="24"/>
        </w:rPr>
        <w:t>核心教授、资本运营实战专家为主要导师团队，</w:t>
      </w:r>
      <w:r w:rsidR="002F731B" w:rsidRPr="00B326F2">
        <w:rPr>
          <w:rFonts w:ascii="宋体" w:eastAsia="宋体" w:hAnsi="宋体" w:hint="eastAsia"/>
          <w:bCs/>
          <w:color w:val="552579"/>
          <w:sz w:val="24"/>
        </w:rPr>
        <w:t>课程紧贴中国经济发展实际，兼顾热点与前沿，助力</w:t>
      </w:r>
      <w:r w:rsidR="008C2704" w:rsidRPr="00B326F2">
        <w:rPr>
          <w:rFonts w:ascii="宋体" w:eastAsia="宋体" w:hAnsi="宋体" w:hint="eastAsia"/>
          <w:bCs/>
          <w:color w:val="552579"/>
          <w:sz w:val="24"/>
        </w:rPr>
        <w:t>学员提升管理能力、优化公司治理、拓展资本视野、把握投资决策、</w:t>
      </w:r>
      <w:r w:rsidRPr="00B326F2">
        <w:rPr>
          <w:rFonts w:ascii="宋体" w:eastAsia="宋体" w:hAnsi="宋体" w:hint="eastAsia"/>
          <w:bCs/>
          <w:color w:val="552579"/>
          <w:sz w:val="24"/>
        </w:rPr>
        <w:t>占据金融高地。</w:t>
      </w:r>
    </w:p>
    <w:p w:rsidR="00C40595" w:rsidRPr="00C40595" w:rsidRDefault="00C40595" w:rsidP="00C40595">
      <w:pPr>
        <w:spacing w:line="360" w:lineRule="auto"/>
        <w:rPr>
          <w:rFonts w:ascii="宋体" w:eastAsia="宋体" w:hAnsi="宋体"/>
          <w:bCs/>
          <w:color w:val="552579"/>
          <w:sz w:val="24"/>
        </w:rPr>
      </w:pPr>
    </w:p>
    <w:p w:rsidR="007D3658" w:rsidRPr="00B326F2" w:rsidRDefault="00FA492C" w:rsidP="00BF60FE">
      <w:pPr>
        <w:spacing w:line="500" w:lineRule="exact"/>
        <w:rPr>
          <w:rFonts w:ascii="宋体" w:eastAsia="宋体" w:hAnsi="宋体" w:cs="方正大黑简体"/>
          <w:b/>
          <w:bCs/>
          <w:color w:val="552579"/>
          <w:sz w:val="28"/>
          <w:szCs w:val="28"/>
        </w:rPr>
      </w:pPr>
      <w:r w:rsidRPr="00B326F2">
        <w:rPr>
          <w:rFonts w:ascii="宋体" w:eastAsia="宋体" w:hAnsi="宋体" w:cs="方正大黑简体" w:hint="eastAsia"/>
          <w:b/>
          <w:bCs/>
          <w:color w:val="552579"/>
          <w:sz w:val="28"/>
          <w:szCs w:val="28"/>
        </w:rPr>
        <w:t>【项目背景】</w:t>
      </w:r>
    </w:p>
    <w:p w:rsidR="007D3658" w:rsidRPr="00B326F2" w:rsidRDefault="00FA492C" w:rsidP="00BF60FE">
      <w:pPr>
        <w:spacing w:line="500" w:lineRule="exact"/>
        <w:rPr>
          <w:rFonts w:ascii="宋体" w:eastAsia="宋体" w:hAnsi="宋体"/>
          <w:sz w:val="24"/>
        </w:rPr>
      </w:pPr>
      <w:r w:rsidRPr="00B326F2">
        <w:rPr>
          <w:rFonts w:ascii="宋体" w:eastAsia="宋体" w:hAnsi="宋体" w:hint="eastAsia"/>
          <w:sz w:val="24"/>
        </w:rPr>
        <w:t xml:space="preserve">    伟大的公司无须伟大的领导者，健康的公司治理往往能成为企业维持组织稳定和持续发展的动力-《基业常青》。</w:t>
      </w:r>
    </w:p>
    <w:p w:rsidR="007D3658" w:rsidRPr="00B326F2" w:rsidRDefault="00FA492C" w:rsidP="00BF60FE">
      <w:pPr>
        <w:spacing w:line="500" w:lineRule="exact"/>
        <w:rPr>
          <w:rFonts w:ascii="宋体" w:eastAsia="宋体" w:hAnsi="宋体"/>
          <w:sz w:val="24"/>
        </w:rPr>
      </w:pPr>
      <w:r w:rsidRPr="00B326F2">
        <w:rPr>
          <w:rFonts w:ascii="宋体" w:eastAsia="宋体" w:hAnsi="宋体" w:hint="eastAsia"/>
          <w:sz w:val="24"/>
        </w:rPr>
        <w:t xml:space="preserve">    在中国经济全面融入国际社会主流，全球经济一体化的今天，中国企业面临着多种发展机遇和挑战。在目前的商业竞争环境中，健康的公司治理与善于资本运作是企业发展致胜的两大核心。</w:t>
      </w:r>
    </w:p>
    <w:p w:rsidR="007D3658" w:rsidRPr="00B326F2" w:rsidRDefault="00FA492C" w:rsidP="00BF60FE">
      <w:pPr>
        <w:spacing w:line="500" w:lineRule="exact"/>
        <w:rPr>
          <w:rFonts w:ascii="宋体" w:eastAsia="宋体" w:hAnsi="宋体"/>
          <w:sz w:val="24"/>
        </w:rPr>
      </w:pPr>
      <w:r w:rsidRPr="00B326F2">
        <w:rPr>
          <w:rFonts w:ascii="宋体" w:eastAsia="宋体" w:hAnsi="宋体" w:hint="eastAsia"/>
          <w:sz w:val="24"/>
        </w:rPr>
        <w:t xml:space="preserve">    2006年至今，</w:t>
      </w:r>
      <w:r w:rsidR="00B326F2" w:rsidRPr="00B326F2">
        <w:rPr>
          <w:rFonts w:ascii="宋体" w:eastAsia="宋体" w:hAnsi="宋体" w:hint="eastAsia"/>
          <w:sz w:val="24"/>
        </w:rPr>
        <w:t>清大</w:t>
      </w:r>
      <w:r w:rsidRPr="00B326F2">
        <w:rPr>
          <w:rFonts w:ascii="宋体" w:eastAsia="宋体" w:hAnsi="宋体" w:hint="eastAsia"/>
          <w:sz w:val="24"/>
        </w:rPr>
        <w:t>人以“强大中国企业家队伍”为使命，面向市场经济的成功实践者，开设《公司治理与资本运作总裁项目》，帮助学员优化公司治理、拓展资本视野、正确投融资决策，3000多位知名企业高层管理人员参加了系统学习。</w:t>
      </w:r>
    </w:p>
    <w:p w:rsidR="007D3658" w:rsidRPr="00B326F2" w:rsidRDefault="00FA492C" w:rsidP="00BF60FE">
      <w:pPr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B326F2">
        <w:rPr>
          <w:rFonts w:ascii="宋体" w:eastAsia="宋体" w:hAnsi="宋体" w:hint="eastAsia"/>
          <w:sz w:val="24"/>
        </w:rPr>
        <w:t>2016年以来，</w:t>
      </w:r>
      <w:r w:rsidR="00B326F2" w:rsidRPr="00B326F2">
        <w:rPr>
          <w:rFonts w:ascii="宋体" w:eastAsia="宋体" w:hAnsi="宋体" w:hint="eastAsia"/>
          <w:sz w:val="24"/>
        </w:rPr>
        <w:t>清大</w:t>
      </w:r>
      <w:r w:rsidRPr="00B326F2">
        <w:rPr>
          <w:rFonts w:ascii="宋体" w:eastAsia="宋体" w:hAnsi="宋体" w:hint="eastAsia"/>
          <w:sz w:val="24"/>
        </w:rPr>
        <w:t>人以“</w:t>
      </w:r>
      <w:r w:rsidRPr="00B326F2">
        <w:rPr>
          <w:rFonts w:ascii="宋体" w:eastAsia="宋体" w:hAnsi="宋体" w:hint="eastAsia"/>
          <w:b/>
          <w:sz w:val="24"/>
        </w:rPr>
        <w:t>中国深度、世界广度</w:t>
      </w:r>
      <w:r w:rsidRPr="00B326F2">
        <w:rPr>
          <w:rFonts w:ascii="宋体" w:eastAsia="宋体" w:hAnsi="宋体" w:hint="eastAsia"/>
          <w:sz w:val="24"/>
        </w:rPr>
        <w:t>”为定位，遴选最优师资，紧扣公司治理与资本运作两大主题，同时整合了企业管理方面知识，加强了企业家人文精神的塑造和领导力培育，灌输资本运作新理念，开设第三十期 《公司治理与资本运作总裁班》，帮助学员有效地实现管理、治理、资本运作能力的多向提升。</w:t>
      </w:r>
    </w:p>
    <w:p w:rsidR="007D3658" w:rsidRPr="00B326F2" w:rsidRDefault="00FA492C" w:rsidP="00BF60FE">
      <w:pPr>
        <w:spacing w:line="500" w:lineRule="exact"/>
        <w:rPr>
          <w:rStyle w:val="135brush"/>
          <w:rFonts w:ascii="宋体" w:eastAsia="宋体" w:hAnsi="宋体"/>
          <w:color w:val="552579"/>
          <w:sz w:val="28"/>
          <w:szCs w:val="28"/>
        </w:rPr>
      </w:pPr>
      <w:bookmarkStart w:id="1" w:name="_Hlk480381854"/>
      <w:r w:rsidRPr="00B326F2">
        <w:rPr>
          <w:rFonts w:ascii="宋体" w:eastAsia="宋体" w:hAnsi="宋体" w:cs="方正大黑简体" w:hint="eastAsia"/>
          <w:b/>
          <w:bCs/>
          <w:color w:val="552579"/>
          <w:sz w:val="28"/>
          <w:szCs w:val="28"/>
        </w:rPr>
        <w:t>【核心价值】</w:t>
      </w:r>
    </w:p>
    <w:bookmarkEnd w:id="1"/>
    <w:p w:rsidR="007D3658" w:rsidRPr="00B326F2" w:rsidRDefault="00FA492C" w:rsidP="00BF60FE">
      <w:pPr>
        <w:spacing w:line="500" w:lineRule="exact"/>
        <w:rPr>
          <w:rFonts w:ascii="宋体" w:eastAsia="宋体" w:hAnsi="宋体"/>
          <w:sz w:val="24"/>
        </w:rPr>
      </w:pPr>
      <w:r w:rsidRPr="00B326F2">
        <w:rPr>
          <w:rFonts w:ascii="宋体" w:eastAsia="宋体" w:hAnsi="宋体" w:hint="eastAsia"/>
          <w:sz w:val="24"/>
        </w:rPr>
        <w:t>把脉发展趋势</w:t>
      </w:r>
      <w:r w:rsidR="005A553D" w:rsidRPr="00B326F2">
        <w:rPr>
          <w:rFonts w:ascii="宋体" w:eastAsia="宋体" w:hAnsi="宋体" w:hint="eastAsia"/>
          <w:sz w:val="24"/>
        </w:rPr>
        <w:t>—</w:t>
      </w:r>
      <w:r w:rsidRPr="00B326F2">
        <w:rPr>
          <w:rFonts w:ascii="宋体" w:eastAsia="宋体" w:hAnsi="宋体" w:hint="eastAsia"/>
          <w:sz w:val="24"/>
        </w:rPr>
        <w:t>把握中国公司治理的发展现状及趋势，建立完善的现代公司治理结构。</w:t>
      </w:r>
    </w:p>
    <w:p w:rsidR="007D3658" w:rsidRPr="00B326F2" w:rsidRDefault="00FA492C" w:rsidP="00BF60FE">
      <w:pPr>
        <w:spacing w:line="500" w:lineRule="exact"/>
        <w:rPr>
          <w:rFonts w:ascii="宋体" w:eastAsia="宋体" w:hAnsi="宋体"/>
          <w:sz w:val="24"/>
        </w:rPr>
      </w:pPr>
      <w:r w:rsidRPr="00B326F2">
        <w:rPr>
          <w:rFonts w:ascii="宋体" w:eastAsia="宋体" w:hAnsi="宋体" w:hint="eastAsia"/>
          <w:sz w:val="24"/>
        </w:rPr>
        <w:t>建立治理体系</w:t>
      </w:r>
      <w:r w:rsidR="005A553D" w:rsidRPr="00B326F2">
        <w:rPr>
          <w:rFonts w:ascii="宋体" w:eastAsia="宋体" w:hAnsi="宋体" w:hint="eastAsia"/>
          <w:sz w:val="24"/>
        </w:rPr>
        <w:t>—</w:t>
      </w:r>
      <w:r w:rsidRPr="00B326F2">
        <w:rPr>
          <w:rFonts w:ascii="宋体" w:eastAsia="宋体" w:hAnsi="宋体" w:hint="eastAsia"/>
          <w:sz w:val="24"/>
        </w:rPr>
        <w:t>理清资本运营与生产经营的内在联系，用最优的治理让资本运作更顺畅。把控运营要点</w:t>
      </w:r>
      <w:r w:rsidR="005A553D" w:rsidRPr="00B326F2">
        <w:rPr>
          <w:rFonts w:ascii="宋体" w:eastAsia="宋体" w:hAnsi="宋体" w:hint="eastAsia"/>
          <w:sz w:val="24"/>
        </w:rPr>
        <w:t>—</w:t>
      </w:r>
      <w:r w:rsidRPr="00B326F2">
        <w:rPr>
          <w:rFonts w:ascii="宋体" w:eastAsia="宋体" w:hAnsi="宋体" w:hint="eastAsia"/>
          <w:sz w:val="24"/>
        </w:rPr>
        <w:t>明确企业资本运营过程中需注意的问题与风险，寻求最佳的解决方案。</w:t>
      </w:r>
    </w:p>
    <w:p w:rsidR="007D3658" w:rsidRPr="00B326F2" w:rsidRDefault="00FA492C" w:rsidP="00BF60FE">
      <w:pPr>
        <w:spacing w:line="500" w:lineRule="exact"/>
        <w:rPr>
          <w:rFonts w:ascii="宋体" w:eastAsia="宋体" w:hAnsi="宋体"/>
          <w:sz w:val="24"/>
        </w:rPr>
      </w:pPr>
      <w:r w:rsidRPr="00B326F2">
        <w:rPr>
          <w:rFonts w:ascii="宋体" w:eastAsia="宋体" w:hAnsi="宋体" w:hint="eastAsia"/>
          <w:sz w:val="24"/>
        </w:rPr>
        <w:t>全面方法设计</w:t>
      </w:r>
      <w:r w:rsidR="005A553D" w:rsidRPr="00B326F2">
        <w:rPr>
          <w:rFonts w:ascii="宋体" w:eastAsia="宋体" w:hAnsi="宋体" w:hint="eastAsia"/>
          <w:sz w:val="24"/>
        </w:rPr>
        <w:t>—</w:t>
      </w:r>
      <w:r w:rsidRPr="00B326F2">
        <w:rPr>
          <w:rFonts w:ascii="宋体" w:eastAsia="宋体" w:hAnsi="宋体" w:hint="eastAsia"/>
          <w:sz w:val="24"/>
        </w:rPr>
        <w:t>掌握国际最新的资本运营手段及方法，为企业的资本运营寻找出路。</w:t>
      </w:r>
    </w:p>
    <w:p w:rsidR="009D297C" w:rsidRPr="00B326F2" w:rsidRDefault="008C2704" w:rsidP="008C2704">
      <w:pPr>
        <w:spacing w:line="540" w:lineRule="exact"/>
        <w:rPr>
          <w:rStyle w:val="135brush"/>
          <w:rFonts w:ascii="宋体" w:eastAsia="宋体" w:hAnsi="宋体"/>
          <w:b/>
          <w:color w:val="552579"/>
          <w:sz w:val="28"/>
          <w:szCs w:val="28"/>
        </w:rPr>
      </w:pPr>
      <w:r w:rsidRPr="00B326F2">
        <w:rPr>
          <w:rFonts w:ascii="宋体" w:eastAsia="宋体" w:hAnsi="宋体" w:cs="方正大黑简体" w:hint="eastAsia"/>
          <w:b/>
          <w:bCs/>
          <w:color w:val="552579"/>
          <w:sz w:val="28"/>
          <w:szCs w:val="28"/>
        </w:rPr>
        <w:t>【课程设置】</w:t>
      </w:r>
    </w:p>
    <w:tbl>
      <w:tblPr>
        <w:tblW w:w="9008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3"/>
        <w:gridCol w:w="4645"/>
      </w:tblGrid>
      <w:tr w:rsidR="00ED1E39" w:rsidRPr="00B326F2" w:rsidTr="00A15A1E">
        <w:trPr>
          <w:trHeight w:val="568"/>
          <w:tblCellSpacing w:w="15" w:type="dxa"/>
          <w:jc w:val="center"/>
        </w:trPr>
        <w:tc>
          <w:tcPr>
            <w:tcW w:w="8948" w:type="dxa"/>
            <w:gridSpan w:val="2"/>
            <w:tcBorders>
              <w:top w:val="thinThickSmallGap" w:sz="12" w:space="0" w:color="7030A0"/>
              <w:left w:val="thinThickSmallGap" w:sz="12" w:space="0" w:color="7030A0"/>
              <w:bottom w:val="inset" w:sz="6" w:space="0" w:color="000000"/>
              <w:right w:val="thickThinSmallGap" w:sz="12" w:space="0" w:color="7030A0"/>
            </w:tcBorders>
            <w:shd w:val="clear" w:color="auto" w:fill="5800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0A7FBA" w:rsidP="009F1AB3">
            <w:pPr>
              <w:widowControl/>
              <w:tabs>
                <w:tab w:val="left" w:pos="1139"/>
                <w:tab w:val="center" w:pos="2078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lastRenderedPageBreak/>
              <w:t>提升</w:t>
            </w:r>
            <w:r w:rsidRPr="00B326F2">
              <w:rPr>
                <w:rFonts w:ascii="宋体" w:eastAsia="宋体" w:hAnsi="宋体"/>
                <w:b/>
                <w:sz w:val="24"/>
              </w:rPr>
              <w:t>管理</w:t>
            </w:r>
            <w:r w:rsidRPr="00B326F2">
              <w:rPr>
                <w:rFonts w:ascii="宋体" w:eastAsia="宋体" w:hAnsi="宋体" w:hint="eastAsia"/>
                <w:b/>
                <w:sz w:val="24"/>
              </w:rPr>
              <w:t>E</w:t>
            </w:r>
            <w:r w:rsidRPr="00B326F2">
              <w:rPr>
                <w:rFonts w:ascii="宋体" w:eastAsia="宋体" w:hAnsi="宋体"/>
                <w:b/>
                <w:sz w:val="24"/>
              </w:rPr>
              <w:t>MBA</w:t>
            </w:r>
            <w:r w:rsidRPr="00B326F2">
              <w:rPr>
                <w:rFonts w:ascii="宋体" w:eastAsia="宋体" w:hAnsi="宋体" w:hint="eastAsia"/>
                <w:b/>
                <w:sz w:val="24"/>
              </w:rPr>
              <w:t>核心</w:t>
            </w:r>
            <w:r w:rsidRPr="00B326F2">
              <w:rPr>
                <w:rFonts w:ascii="宋体" w:eastAsia="宋体" w:hAnsi="宋体"/>
                <w:b/>
                <w:sz w:val="24"/>
              </w:rPr>
              <w:t>课程</w:t>
            </w:r>
          </w:p>
        </w:tc>
      </w:tr>
      <w:tr w:rsidR="00ED1E39" w:rsidRPr="00B326F2" w:rsidTr="00A15A1E">
        <w:trPr>
          <w:trHeight w:val="568"/>
          <w:tblCellSpacing w:w="15" w:type="dxa"/>
          <w:jc w:val="center"/>
        </w:trPr>
        <w:tc>
          <w:tcPr>
            <w:tcW w:w="4318" w:type="dxa"/>
            <w:tcBorders>
              <w:top w:val="thinThickSmallGap" w:sz="12" w:space="0" w:color="7030A0"/>
              <w:left w:val="thinThickSmallGap" w:sz="12" w:space="0" w:color="7030A0"/>
              <w:bottom w:val="single" w:sz="4" w:space="0" w:color="auto"/>
              <w:right w:val="single" w:sz="2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ED1E39" w:rsidP="00ED1E39">
            <w:pPr>
              <w:widowControl/>
              <w:tabs>
                <w:tab w:val="left" w:pos="1139"/>
                <w:tab w:val="center" w:pos="2078"/>
              </w:tabs>
              <w:jc w:val="left"/>
              <w:rPr>
                <w:rFonts w:ascii="宋体" w:eastAsia="宋体" w:hAnsi="宋体" w:cs="Arial"/>
                <w:b/>
                <w:bCs/>
                <w:color w:val="FFFFFF" w:themeColor="background1"/>
                <w:kern w:val="0"/>
                <w:sz w:val="24"/>
              </w:rPr>
            </w:pPr>
            <w:r w:rsidRPr="00B326F2">
              <w:rPr>
                <w:rFonts w:ascii="宋体" w:eastAsia="宋体" w:hAnsi="宋体" w:cs="Arial" w:hint="eastAsia"/>
                <w:b/>
                <w:bCs/>
                <w:color w:val="FFFFFF" w:themeColor="background1"/>
                <w:kern w:val="0"/>
                <w:sz w:val="24"/>
              </w:rPr>
              <w:tab/>
            </w:r>
            <w:r w:rsidRPr="00B326F2">
              <w:rPr>
                <w:rFonts w:ascii="宋体" w:eastAsia="宋体" w:hAnsi="宋体" w:hint="eastAsia"/>
                <w:b/>
                <w:sz w:val="24"/>
              </w:rPr>
              <w:tab/>
              <w:t>宏观经济分析</w:t>
            </w:r>
          </w:p>
        </w:tc>
        <w:tc>
          <w:tcPr>
            <w:tcW w:w="4600" w:type="dxa"/>
            <w:tcBorders>
              <w:top w:val="thinThickSmallGap" w:sz="12" w:space="0" w:color="7030A0"/>
              <w:left w:val="single" w:sz="2" w:space="0" w:color="auto"/>
              <w:bottom w:val="single" w:sz="4" w:space="0" w:color="auto"/>
              <w:right w:val="thickThinSmallGap" w:sz="12" w:space="0" w:color="7030A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ED1E39" w:rsidP="00ED1E39">
            <w:pPr>
              <w:widowControl/>
              <w:tabs>
                <w:tab w:val="left" w:pos="1139"/>
                <w:tab w:val="center" w:pos="2078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战略管理</w:t>
            </w:r>
          </w:p>
        </w:tc>
      </w:tr>
      <w:tr w:rsidR="00ED1E39" w:rsidRPr="00B326F2" w:rsidTr="00A15A1E">
        <w:trPr>
          <w:trHeight w:val="1646"/>
          <w:tblCellSpacing w:w="15" w:type="dxa"/>
          <w:jc w:val="center"/>
        </w:trPr>
        <w:tc>
          <w:tcPr>
            <w:tcW w:w="4318" w:type="dxa"/>
            <w:tcBorders>
              <w:top w:val="single" w:sz="4" w:space="0" w:color="auto"/>
              <w:left w:val="thinThickSmallGap" w:sz="12" w:space="0" w:color="7030A0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ED1E39" w:rsidP="005C142B">
            <w:pPr>
              <w:ind w:firstLineChars="100" w:firstLine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Cs w:val="21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经济增长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与产业结构变迁</w:t>
            </w:r>
          </w:p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货币供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应量与信贷投放</w:t>
            </w:r>
          </w:p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价格指数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波动</w:t>
            </w:r>
          </w:p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宏观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经济与企业发展</w:t>
            </w:r>
            <w:r w:rsidRPr="00B326F2">
              <w:rPr>
                <w:rFonts w:ascii="宋体" w:eastAsia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12" w:space="0" w:color="7030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未来企业面临挑战与发展趋势</w:t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br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动态竞争分析</w:t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br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信息战略的作用及影响</w:t>
            </w:r>
          </w:p>
          <w:p w:rsidR="00ED1E39" w:rsidRPr="00B326F2" w:rsidRDefault="00ED1E39" w:rsidP="00ED1E39">
            <w:pPr>
              <w:ind w:firstLineChars="100" w:firstLine="24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建立成功的战略联盟</w:t>
            </w:r>
          </w:p>
          <w:p w:rsidR="00ED1E39" w:rsidRPr="00B326F2" w:rsidRDefault="00ED1E39" w:rsidP="00ED1E39">
            <w:pPr>
              <w:ind w:firstLineChars="100" w:firstLine="24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战略实施与组织机构</w:t>
            </w:r>
          </w:p>
        </w:tc>
      </w:tr>
      <w:tr w:rsidR="00ED1E39" w:rsidRPr="00B326F2" w:rsidTr="00A15A1E">
        <w:trPr>
          <w:trHeight w:val="552"/>
          <w:tblCellSpacing w:w="15" w:type="dxa"/>
          <w:jc w:val="center"/>
        </w:trPr>
        <w:tc>
          <w:tcPr>
            <w:tcW w:w="4318" w:type="dxa"/>
            <w:tcBorders>
              <w:top w:val="inset" w:sz="6" w:space="0" w:color="000000"/>
              <w:left w:val="thinThickSmallGap" w:sz="12" w:space="0" w:color="7030A0"/>
              <w:bottom w:val="inset" w:sz="6" w:space="0" w:color="000000"/>
              <w:right w:val="single" w:sz="2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ED1E39" w:rsidP="00B326F2">
            <w:pPr>
              <w:widowControl/>
              <w:tabs>
                <w:tab w:val="left" w:pos="1139"/>
                <w:tab w:val="center" w:pos="1395"/>
              </w:tabs>
              <w:ind w:firstLineChars="600" w:firstLine="1446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财务</w:t>
            </w:r>
            <w:r w:rsidRPr="00B326F2">
              <w:rPr>
                <w:rFonts w:ascii="宋体" w:eastAsia="宋体" w:hAnsi="宋体"/>
                <w:b/>
                <w:sz w:val="24"/>
              </w:rPr>
              <w:t>管理</w:t>
            </w:r>
          </w:p>
        </w:tc>
        <w:tc>
          <w:tcPr>
            <w:tcW w:w="4600" w:type="dxa"/>
            <w:tcBorders>
              <w:top w:val="inset" w:sz="6" w:space="0" w:color="000000"/>
              <w:left w:val="single" w:sz="2" w:space="0" w:color="auto"/>
              <w:bottom w:val="inset" w:sz="6" w:space="0" w:color="000000"/>
              <w:right w:val="thickThinSmallGap" w:sz="12" w:space="0" w:color="7030A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ED1E39" w:rsidP="00ED1E39"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人</w:t>
            </w:r>
            <w:r w:rsidRPr="00B326F2">
              <w:rPr>
                <w:rFonts w:ascii="宋体" w:eastAsia="宋体" w:hAnsi="宋体"/>
                <w:b/>
                <w:sz w:val="24"/>
              </w:rPr>
              <w:t>本管理</w:t>
            </w:r>
          </w:p>
        </w:tc>
      </w:tr>
      <w:tr w:rsidR="00ED1E39" w:rsidRPr="00B326F2" w:rsidTr="00A15A1E">
        <w:trPr>
          <w:trHeight w:val="1596"/>
          <w:tblCellSpacing w:w="15" w:type="dxa"/>
          <w:jc w:val="center"/>
        </w:trPr>
        <w:tc>
          <w:tcPr>
            <w:tcW w:w="4318" w:type="dxa"/>
            <w:tcBorders>
              <w:top w:val="single" w:sz="0" w:space="0" w:color="auto"/>
              <w:left w:val="thinThickSmallGap" w:sz="12" w:space="0" w:color="7030A0"/>
              <w:bottom w:val="inset" w:sz="6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现代企业融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资体系</w:t>
            </w:r>
          </w:p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财务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战略储备</w:t>
            </w:r>
          </w:p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合并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报表与集团管控风险</w:t>
            </w:r>
          </w:p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企业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如何合理纳税和避税</w:t>
            </w:r>
          </w:p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报表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解读涉及的管理问题</w:t>
            </w:r>
          </w:p>
        </w:tc>
        <w:tc>
          <w:tcPr>
            <w:tcW w:w="4600" w:type="dxa"/>
            <w:tcBorders>
              <w:top w:val="single" w:sz="0" w:space="0" w:color="auto"/>
              <w:left w:val="single" w:sz="2" w:space="0" w:color="auto"/>
              <w:bottom w:val="inset" w:sz="6" w:space="0" w:color="000000"/>
              <w:right w:val="thickThinSmallGap" w:sz="12" w:space="0" w:color="7030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企业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文化建设</w:t>
            </w:r>
          </w:p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人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力资源战略</w:t>
            </w:r>
          </w:p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企业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人事制度整合与创新</w:t>
            </w:r>
          </w:p>
          <w:p w:rsidR="00ED1E39" w:rsidRPr="00B326F2" w:rsidRDefault="00ED1E39" w:rsidP="00ED1E39">
            <w:pPr>
              <w:ind w:leftChars="100" w:left="210"/>
              <w:jc w:val="left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支持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体系与</w:t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品</w:t>
            </w:r>
            <w:r w:rsidRPr="00B326F2">
              <w:rPr>
                <w:rFonts w:ascii="宋体" w:eastAsia="宋体" w:hAnsi="宋体"/>
                <w:color w:val="000000"/>
                <w:sz w:val="24"/>
              </w:rPr>
              <w:t>绩管理</w:t>
            </w:r>
          </w:p>
        </w:tc>
      </w:tr>
      <w:tr w:rsidR="00ED1E39" w:rsidRPr="00B326F2" w:rsidTr="00A15A1E">
        <w:trPr>
          <w:trHeight w:val="520"/>
          <w:tblCellSpacing w:w="15" w:type="dxa"/>
          <w:jc w:val="center"/>
        </w:trPr>
        <w:tc>
          <w:tcPr>
            <w:tcW w:w="4318" w:type="dxa"/>
            <w:tcBorders>
              <w:top w:val="inset" w:sz="6" w:space="0" w:color="000000"/>
              <w:left w:val="thinThickSmallGap" w:sz="12" w:space="0" w:color="7030A0"/>
              <w:bottom w:val="inset" w:sz="6" w:space="0" w:color="000000"/>
              <w:right w:val="single" w:sz="2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6A5D53" w:rsidP="006A5D53"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商战谋略</w:t>
            </w:r>
          </w:p>
        </w:tc>
        <w:tc>
          <w:tcPr>
            <w:tcW w:w="4600" w:type="dxa"/>
            <w:tcBorders>
              <w:top w:val="inset" w:sz="6" w:space="0" w:color="000000"/>
              <w:left w:val="single" w:sz="2" w:space="0" w:color="auto"/>
              <w:bottom w:val="inset" w:sz="6" w:space="0" w:color="000000"/>
              <w:right w:val="thickThinSmallGap" w:sz="12" w:space="0" w:color="7030A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E39" w:rsidRPr="00B326F2" w:rsidRDefault="006A5D53" w:rsidP="00ED1E39"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领导</w:t>
            </w:r>
            <w:r w:rsidRPr="00B326F2">
              <w:rPr>
                <w:rFonts w:ascii="宋体" w:eastAsia="宋体" w:hAnsi="宋体"/>
                <w:b/>
                <w:sz w:val="24"/>
              </w:rPr>
              <w:t>艺术</w:t>
            </w:r>
          </w:p>
        </w:tc>
      </w:tr>
      <w:tr w:rsidR="00ED1E39" w:rsidRPr="00B326F2" w:rsidTr="00A15A1E">
        <w:trPr>
          <w:trHeight w:val="520"/>
          <w:tblCellSpacing w:w="15" w:type="dxa"/>
          <w:jc w:val="center"/>
        </w:trPr>
        <w:tc>
          <w:tcPr>
            <w:tcW w:w="4318" w:type="dxa"/>
            <w:tcBorders>
              <w:top w:val="inset" w:sz="6" w:space="0" w:color="000000"/>
              <w:left w:val="thinThickSmallGap" w:sz="12" w:space="0" w:color="7030A0"/>
              <w:bottom w:val="inset" w:sz="6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D53" w:rsidRPr="00B326F2" w:rsidRDefault="006A5D53" w:rsidP="006A5D53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孙子兵法与商战谋略</w:t>
            </w:r>
          </w:p>
          <w:p w:rsidR="006A5D53" w:rsidRPr="00B326F2" w:rsidRDefault="006A5D53" w:rsidP="006A5D53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经五事原则</w:t>
            </w:r>
          </w:p>
          <w:p w:rsidR="006A5D53" w:rsidRPr="00B326F2" w:rsidRDefault="006A5D53" w:rsidP="006A5D53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兵不厌诈原则</w:t>
            </w:r>
          </w:p>
          <w:p w:rsidR="00ED1E39" w:rsidRPr="00B326F2" w:rsidRDefault="006A5D53" w:rsidP="006A5D53">
            <w:pPr>
              <w:widowControl/>
              <w:tabs>
                <w:tab w:val="left" w:pos="1139"/>
                <w:tab w:val="center" w:pos="2077"/>
              </w:tabs>
              <w:ind w:firstLineChars="100" w:firstLine="240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知己知彼原则</w:t>
            </w:r>
          </w:p>
        </w:tc>
        <w:tc>
          <w:tcPr>
            <w:tcW w:w="4600" w:type="dxa"/>
            <w:tcBorders>
              <w:top w:val="inset" w:sz="6" w:space="0" w:color="000000"/>
              <w:left w:val="single" w:sz="2" w:space="0" w:color="auto"/>
              <w:bottom w:val="inset" w:sz="6" w:space="0" w:color="000000"/>
              <w:right w:val="thickThinSmallGap" w:sz="12" w:space="0" w:color="7030A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CC" w:rsidRPr="00B326F2" w:rsidRDefault="00027FCC" w:rsidP="00027FCC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领导情商与影响力</w:t>
            </w:r>
          </w:p>
          <w:p w:rsidR="00027FCC" w:rsidRPr="00B326F2" w:rsidRDefault="00027FCC" w:rsidP="00027FCC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领导者识人用人智慧</w:t>
            </w:r>
          </w:p>
          <w:p w:rsidR="00ED1E39" w:rsidRPr="00B326F2" w:rsidRDefault="00027FCC" w:rsidP="00027FCC">
            <w:pPr>
              <w:widowControl/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领导韬略与领导决策</w:t>
            </w:r>
          </w:p>
        </w:tc>
      </w:tr>
      <w:tr w:rsidR="00BD489A" w:rsidRPr="00B326F2" w:rsidTr="00A15A1E">
        <w:trPr>
          <w:trHeight w:val="520"/>
          <w:tblCellSpacing w:w="15" w:type="dxa"/>
          <w:jc w:val="center"/>
        </w:trPr>
        <w:tc>
          <w:tcPr>
            <w:tcW w:w="8948" w:type="dxa"/>
            <w:gridSpan w:val="2"/>
            <w:tcBorders>
              <w:top w:val="inset" w:sz="6" w:space="0" w:color="000000"/>
              <w:left w:val="thinThickSmallGap" w:sz="12" w:space="0" w:color="7030A0"/>
              <w:bottom w:val="inset" w:sz="6" w:space="0" w:color="000000"/>
              <w:right w:val="thickThinSmallGap" w:sz="12" w:space="0" w:color="7030A0"/>
            </w:tcBorders>
            <w:shd w:val="clear" w:color="auto" w:fill="5800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89A" w:rsidRPr="00B326F2" w:rsidRDefault="00BD489A" w:rsidP="00ED1E39"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公司</w:t>
            </w:r>
            <w:r w:rsidR="00814B90" w:rsidRPr="00B326F2">
              <w:rPr>
                <w:rFonts w:ascii="宋体" w:eastAsia="宋体" w:hAnsi="宋体"/>
                <w:b/>
                <w:sz w:val="24"/>
              </w:rPr>
              <w:t>治理与资本运</w:t>
            </w:r>
            <w:r w:rsidR="00814B90" w:rsidRPr="00B326F2">
              <w:rPr>
                <w:rFonts w:ascii="宋体" w:eastAsia="宋体" w:hAnsi="宋体" w:hint="eastAsia"/>
                <w:b/>
                <w:sz w:val="24"/>
              </w:rPr>
              <w:t>营</w:t>
            </w:r>
          </w:p>
        </w:tc>
      </w:tr>
      <w:tr w:rsidR="00BD489A" w:rsidRPr="00B326F2" w:rsidTr="00A15A1E">
        <w:trPr>
          <w:trHeight w:val="520"/>
          <w:tblCellSpacing w:w="15" w:type="dxa"/>
          <w:jc w:val="center"/>
        </w:trPr>
        <w:tc>
          <w:tcPr>
            <w:tcW w:w="4318" w:type="dxa"/>
            <w:tcBorders>
              <w:top w:val="inset" w:sz="6" w:space="0" w:color="000000"/>
              <w:left w:val="thinThickSmallGap" w:sz="12" w:space="0" w:color="7030A0"/>
              <w:bottom w:val="inset" w:sz="6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89A" w:rsidRPr="00B326F2" w:rsidRDefault="00A938A9" w:rsidP="00A938A9">
            <w:pPr>
              <w:widowControl/>
              <w:tabs>
                <w:tab w:val="left" w:pos="1139"/>
                <w:tab w:val="center" w:pos="2077"/>
              </w:tabs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现代企业制度与治理结构</w:t>
            </w:r>
          </w:p>
          <w:p w:rsidR="00A938A9" w:rsidRPr="00B326F2" w:rsidRDefault="00A938A9" w:rsidP="00A938A9">
            <w:pPr>
              <w:widowControl/>
              <w:tabs>
                <w:tab w:val="left" w:pos="1139"/>
                <w:tab w:val="center" w:pos="2077"/>
              </w:tabs>
              <w:ind w:firstLineChars="100" w:firstLine="240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董事会运作实务</w:t>
            </w:r>
          </w:p>
        </w:tc>
        <w:tc>
          <w:tcPr>
            <w:tcW w:w="4600" w:type="dxa"/>
            <w:tcBorders>
              <w:top w:val="inset" w:sz="6" w:space="0" w:color="000000"/>
              <w:left w:val="single" w:sz="2" w:space="0" w:color="auto"/>
              <w:bottom w:val="inset" w:sz="6" w:space="0" w:color="000000"/>
              <w:right w:val="thickThinSmallGap" w:sz="12" w:space="0" w:color="7030A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8A9" w:rsidRPr="00B326F2" w:rsidRDefault="00A938A9" w:rsidP="00A938A9">
            <w:pPr>
              <w:widowControl/>
              <w:tabs>
                <w:tab w:val="left" w:pos="1139"/>
                <w:tab w:val="center" w:pos="2077"/>
              </w:tabs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公司治理中的激励及约束机制</w:t>
            </w:r>
          </w:p>
          <w:p w:rsidR="00BD489A" w:rsidRPr="00B326F2" w:rsidRDefault="00A938A9" w:rsidP="00A938A9">
            <w:pPr>
              <w:widowControl/>
              <w:tabs>
                <w:tab w:val="left" w:pos="1139"/>
                <w:tab w:val="center" w:pos="2077"/>
              </w:tabs>
              <w:ind w:firstLineChars="100" w:firstLine="240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国内外公司治理案例分析与研究</w:t>
            </w:r>
          </w:p>
        </w:tc>
      </w:tr>
      <w:tr w:rsidR="00A938A9" w:rsidRPr="00B326F2" w:rsidTr="00A15A1E">
        <w:trPr>
          <w:trHeight w:val="520"/>
          <w:tblCellSpacing w:w="15" w:type="dxa"/>
          <w:jc w:val="center"/>
        </w:trPr>
        <w:tc>
          <w:tcPr>
            <w:tcW w:w="4318" w:type="dxa"/>
            <w:tcBorders>
              <w:top w:val="inset" w:sz="6" w:space="0" w:color="000000"/>
              <w:left w:val="thinThickSmallGap" w:sz="12" w:space="0" w:color="7030A0"/>
              <w:bottom w:val="inset" w:sz="6" w:space="0" w:color="000000"/>
              <w:right w:val="single" w:sz="2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8A9" w:rsidRPr="00B326F2" w:rsidRDefault="002414D1" w:rsidP="002414D1"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企业投融资与资本运营</w:t>
            </w:r>
          </w:p>
        </w:tc>
        <w:tc>
          <w:tcPr>
            <w:tcW w:w="4600" w:type="dxa"/>
            <w:tcBorders>
              <w:top w:val="inset" w:sz="6" w:space="0" w:color="000000"/>
              <w:left w:val="single" w:sz="2" w:space="0" w:color="auto"/>
              <w:bottom w:val="inset" w:sz="6" w:space="0" w:color="000000"/>
              <w:right w:val="thickThinSmallGap" w:sz="12" w:space="0" w:color="7030A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8A9" w:rsidRPr="00B326F2" w:rsidRDefault="002414D1" w:rsidP="002414D1"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私募股权投资PE投资基金</w:t>
            </w:r>
          </w:p>
        </w:tc>
      </w:tr>
      <w:tr w:rsidR="00BD489A" w:rsidRPr="00B326F2" w:rsidTr="00A15A1E">
        <w:trPr>
          <w:trHeight w:val="520"/>
          <w:tblCellSpacing w:w="15" w:type="dxa"/>
          <w:jc w:val="center"/>
        </w:trPr>
        <w:tc>
          <w:tcPr>
            <w:tcW w:w="4318" w:type="dxa"/>
            <w:tcBorders>
              <w:top w:val="inset" w:sz="6" w:space="0" w:color="000000"/>
              <w:left w:val="thinThickSmallGap" w:sz="12" w:space="0" w:color="7030A0"/>
              <w:bottom w:val="inset" w:sz="6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4D1" w:rsidRPr="00B326F2" w:rsidRDefault="002414D1" w:rsidP="002414D1">
            <w:pPr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资本运营的核心实质</w:t>
            </w:r>
          </w:p>
          <w:p w:rsidR="002414D1" w:rsidRPr="00B326F2" w:rsidRDefault="002414D1" w:rsidP="002414D1">
            <w:pPr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实业投资</w:t>
            </w:r>
          </w:p>
          <w:p w:rsidR="002414D1" w:rsidRPr="00B326F2" w:rsidRDefault="002414D1" w:rsidP="002414D1">
            <w:pPr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直接股权投融资理论与实务</w:t>
            </w:r>
          </w:p>
          <w:p w:rsidR="002414D1" w:rsidRPr="00B326F2" w:rsidRDefault="002414D1" w:rsidP="002414D1">
            <w:pPr>
              <w:widowControl/>
              <w:tabs>
                <w:tab w:val="left" w:pos="1139"/>
                <w:tab w:val="center" w:pos="2077"/>
              </w:tabs>
              <w:ind w:firstLineChars="100" w:firstLine="240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资本市场与融资渠道的选择与创新</w:t>
            </w:r>
          </w:p>
        </w:tc>
        <w:tc>
          <w:tcPr>
            <w:tcW w:w="4600" w:type="dxa"/>
            <w:tcBorders>
              <w:top w:val="inset" w:sz="6" w:space="0" w:color="000000"/>
              <w:left w:val="single" w:sz="2" w:space="0" w:color="auto"/>
              <w:bottom w:val="inset" w:sz="6" w:space="0" w:color="000000"/>
              <w:right w:val="thickThinSmallGap" w:sz="12" w:space="0" w:color="7030A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4D1" w:rsidRPr="00B326F2" w:rsidRDefault="002414D1" w:rsidP="002414D1">
            <w:pPr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私募股权基金的设立募集</w:t>
            </w:r>
          </w:p>
          <w:p w:rsidR="002414D1" w:rsidRPr="00B326F2" w:rsidRDefault="002414D1" w:rsidP="002414D1">
            <w:pPr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私募股权基金的项目投资</w:t>
            </w:r>
          </w:p>
          <w:p w:rsidR="002414D1" w:rsidRPr="00B326F2" w:rsidRDefault="002414D1" w:rsidP="002414D1">
            <w:pPr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私募股权投资基金管理</w:t>
            </w:r>
          </w:p>
          <w:p w:rsidR="00BD489A" w:rsidRPr="00B326F2" w:rsidRDefault="002414D1" w:rsidP="002414D1">
            <w:pPr>
              <w:widowControl/>
              <w:tabs>
                <w:tab w:val="left" w:pos="1139"/>
                <w:tab w:val="center" w:pos="2077"/>
              </w:tabs>
              <w:ind w:firstLineChars="100" w:firstLine="240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私募股权投资基金的退出机制</w:t>
            </w:r>
          </w:p>
        </w:tc>
      </w:tr>
      <w:tr w:rsidR="00BD489A" w:rsidRPr="00B326F2" w:rsidTr="00A15A1E">
        <w:trPr>
          <w:trHeight w:val="520"/>
          <w:tblCellSpacing w:w="15" w:type="dxa"/>
          <w:jc w:val="center"/>
        </w:trPr>
        <w:tc>
          <w:tcPr>
            <w:tcW w:w="4318" w:type="dxa"/>
            <w:tcBorders>
              <w:top w:val="inset" w:sz="6" w:space="0" w:color="000000"/>
              <w:left w:val="thinThickSmallGap" w:sz="12" w:space="0" w:color="7030A0"/>
              <w:bottom w:val="inset" w:sz="6" w:space="0" w:color="000000"/>
              <w:right w:val="single" w:sz="2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89A" w:rsidRPr="00B326F2" w:rsidRDefault="00C564FC" w:rsidP="00B326F2">
            <w:pPr>
              <w:widowControl/>
              <w:tabs>
                <w:tab w:val="left" w:pos="1139"/>
                <w:tab w:val="center" w:pos="2077"/>
              </w:tabs>
              <w:ind w:firstLineChars="600" w:firstLine="1446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风险投资</w:t>
            </w:r>
          </w:p>
        </w:tc>
        <w:tc>
          <w:tcPr>
            <w:tcW w:w="4600" w:type="dxa"/>
            <w:tcBorders>
              <w:top w:val="inset" w:sz="6" w:space="0" w:color="000000"/>
              <w:left w:val="single" w:sz="2" w:space="0" w:color="auto"/>
              <w:bottom w:val="inset" w:sz="6" w:space="0" w:color="000000"/>
              <w:right w:val="thickThinSmallGap" w:sz="12" w:space="0" w:color="7030A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89A" w:rsidRPr="00B326F2" w:rsidRDefault="00C564FC" w:rsidP="00BD489A"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并购重组</w:t>
            </w:r>
          </w:p>
        </w:tc>
      </w:tr>
      <w:tr w:rsidR="00BD489A" w:rsidRPr="00B326F2" w:rsidTr="00A15A1E">
        <w:trPr>
          <w:trHeight w:val="1349"/>
          <w:tblCellSpacing w:w="15" w:type="dxa"/>
          <w:jc w:val="center"/>
        </w:trPr>
        <w:tc>
          <w:tcPr>
            <w:tcW w:w="4318" w:type="dxa"/>
            <w:tcBorders>
              <w:top w:val="single" w:sz="0" w:space="0" w:color="auto"/>
              <w:left w:val="thinThickSmallGap" w:sz="12" w:space="0" w:color="7030A0"/>
              <w:bottom w:val="inset" w:sz="6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4FC" w:rsidRPr="00B326F2" w:rsidRDefault="00C564FC" w:rsidP="00C564FC">
            <w:pPr>
              <w:ind w:firstLineChars="100" w:firstLine="24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创投产业的实务与案例</w:t>
            </w:r>
          </w:p>
          <w:p w:rsidR="00C564FC" w:rsidRPr="00B326F2" w:rsidRDefault="00C564FC" w:rsidP="00C564FC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风险投资的退出机制</w:t>
            </w:r>
          </w:p>
          <w:p w:rsidR="00C564FC" w:rsidRPr="00B326F2" w:rsidRDefault="00C564FC" w:rsidP="00C564FC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风险投资的融资活动</w:t>
            </w:r>
          </w:p>
          <w:p w:rsidR="00C564FC" w:rsidRPr="00B326F2" w:rsidRDefault="00C564FC" w:rsidP="00C564FC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风险投资相关法律与财务</w:t>
            </w:r>
          </w:p>
        </w:tc>
        <w:tc>
          <w:tcPr>
            <w:tcW w:w="4600" w:type="dxa"/>
            <w:tcBorders>
              <w:top w:val="single" w:sz="0" w:space="0" w:color="auto"/>
              <w:left w:val="single" w:sz="2" w:space="0" w:color="auto"/>
              <w:bottom w:val="inset" w:sz="6" w:space="0" w:color="000000"/>
              <w:right w:val="thickThinSmallGap" w:sz="12" w:space="0" w:color="7030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4FC" w:rsidRPr="00B326F2" w:rsidRDefault="00C564FC" w:rsidP="00C564FC">
            <w:pPr>
              <w:ind w:firstLineChars="100" w:firstLine="24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bookmarkStart w:id="2" w:name="_Hlk481621388"/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bookmarkEnd w:id="2"/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并购理论前沿</w:t>
            </w:r>
          </w:p>
          <w:p w:rsidR="00C564FC" w:rsidRPr="00B326F2" w:rsidRDefault="00C564FC" w:rsidP="00C564FC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重组过程中的谈判策略</w:t>
            </w:r>
          </w:p>
          <w:p w:rsidR="00C564FC" w:rsidRPr="00B326F2" w:rsidRDefault="00C564FC" w:rsidP="00C564FC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>企业重组的价值与收益评估</w:t>
            </w:r>
          </w:p>
          <w:p w:rsidR="00BD489A" w:rsidRPr="00B326F2" w:rsidRDefault="00C564FC" w:rsidP="00C564FC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t xml:space="preserve"> MBO与雇员持股计划</w:t>
            </w:r>
          </w:p>
        </w:tc>
      </w:tr>
      <w:tr w:rsidR="004D037A" w:rsidRPr="00B326F2" w:rsidTr="00A15A1E">
        <w:trPr>
          <w:trHeight w:val="520"/>
          <w:tblCellSpacing w:w="15" w:type="dxa"/>
          <w:jc w:val="center"/>
        </w:trPr>
        <w:tc>
          <w:tcPr>
            <w:tcW w:w="8948" w:type="dxa"/>
            <w:gridSpan w:val="2"/>
            <w:tcBorders>
              <w:top w:val="inset" w:sz="6" w:space="0" w:color="000000"/>
              <w:left w:val="thinThickSmallGap" w:sz="12" w:space="0" w:color="7030A0"/>
              <w:bottom w:val="inset" w:sz="6" w:space="0" w:color="000000"/>
              <w:right w:val="thickThinSmallGap" w:sz="12" w:space="0" w:color="7030A0"/>
            </w:tcBorders>
            <w:shd w:val="clear" w:color="auto" w:fill="5800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7A" w:rsidRPr="00B326F2" w:rsidRDefault="004D037A" w:rsidP="00BD489A">
            <w:pPr>
              <w:widowControl/>
              <w:tabs>
                <w:tab w:val="left" w:pos="1139"/>
                <w:tab w:val="center" w:pos="2077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 w:rsidRPr="00B326F2">
              <w:rPr>
                <w:rFonts w:ascii="宋体" w:eastAsia="宋体" w:hAnsi="宋体" w:hint="eastAsia"/>
                <w:b/>
                <w:sz w:val="24"/>
              </w:rPr>
              <w:t>上市战略的选择与操作</w:t>
            </w:r>
          </w:p>
        </w:tc>
      </w:tr>
      <w:tr w:rsidR="00BD489A" w:rsidRPr="00B326F2" w:rsidTr="00A15A1E">
        <w:trPr>
          <w:trHeight w:val="409"/>
          <w:tblCellSpacing w:w="15" w:type="dxa"/>
          <w:jc w:val="center"/>
        </w:trPr>
        <w:tc>
          <w:tcPr>
            <w:tcW w:w="4318" w:type="dxa"/>
            <w:tcBorders>
              <w:top w:val="single" w:sz="0" w:space="0" w:color="auto"/>
              <w:left w:val="thinThickSmallGap" w:sz="12" w:space="0" w:color="7030A0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7A" w:rsidRPr="00B326F2" w:rsidRDefault="00BD489A" w:rsidP="004D037A">
            <w:pPr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="004D037A"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国内外主板与创业板上市战略</w:t>
            </w:r>
          </w:p>
          <w:p w:rsidR="00BD489A" w:rsidRPr="00B326F2" w:rsidRDefault="004D037A" w:rsidP="005C142B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不同上市地的审批监管及规则</w:t>
            </w:r>
          </w:p>
        </w:tc>
        <w:tc>
          <w:tcPr>
            <w:tcW w:w="4600" w:type="dxa"/>
            <w:tcBorders>
              <w:top w:val="single" w:sz="0" w:space="0" w:color="auto"/>
              <w:left w:val="single" w:sz="2" w:space="0" w:color="auto"/>
              <w:bottom w:val="single" w:sz="4" w:space="0" w:color="auto"/>
              <w:right w:val="thickThinSmallGap" w:sz="12" w:space="0" w:color="7030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7A" w:rsidRPr="00B326F2" w:rsidRDefault="00BD489A" w:rsidP="004D037A">
            <w:pPr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="004D037A"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上市过程中流程及操作</w:t>
            </w:r>
          </w:p>
          <w:p w:rsidR="00BD489A" w:rsidRPr="00B326F2" w:rsidRDefault="004D037A" w:rsidP="005C142B">
            <w:pPr>
              <w:ind w:leftChars="100" w:left="21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B326F2">
              <w:rPr>
                <w:rFonts w:ascii="宋体" w:eastAsia="宋体" w:hAnsi="宋体" w:hint="eastAsia"/>
                <w:color w:val="000000"/>
                <w:sz w:val="24"/>
              </w:rPr>
              <w:sym w:font="Wingdings" w:char="F0D8"/>
            </w:r>
            <w:r w:rsidRPr="00B326F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上市之前与当中的财务审计</w:t>
            </w:r>
          </w:p>
        </w:tc>
      </w:tr>
    </w:tbl>
    <w:p w:rsidR="00354251" w:rsidRPr="00B326F2" w:rsidRDefault="00FA492C" w:rsidP="00327BBC">
      <w:pPr>
        <w:spacing w:line="560" w:lineRule="exact"/>
        <w:rPr>
          <w:rFonts w:ascii="宋体" w:eastAsia="宋体" w:hAnsi="宋体" w:cs="方正大黑简体"/>
          <w:b/>
          <w:bCs/>
          <w:color w:val="552579"/>
          <w:sz w:val="28"/>
          <w:szCs w:val="28"/>
        </w:rPr>
      </w:pPr>
      <w:r w:rsidRPr="00B326F2">
        <w:rPr>
          <w:rFonts w:ascii="宋体" w:eastAsia="宋体" w:hAnsi="宋体" w:cs="方正大黑简体" w:hint="eastAsia"/>
          <w:b/>
          <w:bCs/>
          <w:color w:val="552579"/>
          <w:sz w:val="28"/>
          <w:szCs w:val="28"/>
        </w:rPr>
        <w:t>【师资介绍】</w:t>
      </w:r>
    </w:p>
    <w:tbl>
      <w:tblPr>
        <w:tblStyle w:val="a6"/>
        <w:tblpPr w:leftFromText="180" w:rightFromText="180" w:vertAnchor="text" w:horzAnchor="page" w:tblpX="1605" w:tblpY="207"/>
        <w:tblOverlap w:val="never"/>
        <w:tblW w:w="9184" w:type="dxa"/>
        <w:tblLayout w:type="fixed"/>
        <w:tblLook w:val="04A0"/>
      </w:tblPr>
      <w:tblGrid>
        <w:gridCol w:w="4592"/>
        <w:gridCol w:w="4592"/>
      </w:tblGrid>
      <w:tr w:rsidR="00D10BA1" w:rsidRPr="00B326F2" w:rsidTr="00B302FD">
        <w:trPr>
          <w:trHeight w:val="2117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:rsidR="00D10BA1" w:rsidRPr="00B326F2" w:rsidRDefault="00D10BA1" w:rsidP="00041A8E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326F2">
              <w:rPr>
                <w:rFonts w:ascii="宋体" w:eastAsia="宋体" w:hAnsi="宋体" w:hint="eastAsia"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20320</wp:posOffset>
                  </wp:positionV>
                  <wp:extent cx="762000" cy="1125855"/>
                  <wp:effectExtent l="0" t="0" r="0" b="17145"/>
                  <wp:wrapSquare wrapText="bothSides"/>
                  <wp:docPr id="29" name="图片 29" descr="朱武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朱武祥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0BA1" w:rsidRPr="00B326F2" w:rsidRDefault="00D10BA1" w:rsidP="00041A8E">
            <w:pPr>
              <w:rPr>
                <w:rFonts w:ascii="宋体" w:eastAsia="宋体" w:hAnsi="宋体"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朱武祥：</w:t>
            </w:r>
            <w:r w:rsidRPr="00B326F2">
              <w:rPr>
                <w:rFonts w:ascii="宋体" w:eastAsia="宋体" w:hAnsi="宋体" w:hint="eastAsia"/>
                <w:szCs w:val="21"/>
              </w:rPr>
              <w:t>著名金融与商业模式专家，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Pr="00B326F2">
              <w:rPr>
                <w:rFonts w:ascii="宋体" w:eastAsia="宋体" w:hAnsi="宋体" w:hint="eastAsia"/>
                <w:szCs w:val="21"/>
              </w:rPr>
              <w:t>经济管理学院金融系教授，博士生导师。研究方向：公司金融与资本市场。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:rsidR="00403B04" w:rsidRPr="00B326F2" w:rsidRDefault="002C4AB9" w:rsidP="00041A8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25400</wp:posOffset>
                  </wp:positionV>
                  <wp:extent cx="859155" cy="1169035"/>
                  <wp:effectExtent l="0" t="0" r="0" b="0"/>
                  <wp:wrapSquare wrapText="bothSides"/>
                  <wp:docPr id="1" name="图片 1" descr="201704011701116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7040117011167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0BA1" w:rsidRPr="00B326F2" w:rsidRDefault="00D10BA1" w:rsidP="00041A8E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宁向东：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Pr="00B326F2">
              <w:rPr>
                <w:rFonts w:ascii="宋体" w:eastAsia="宋体" w:hAnsi="宋体" w:hint="eastAsia"/>
                <w:szCs w:val="21"/>
              </w:rPr>
              <w:t>经济管理学院创新创业与战略系教授、博士生导师、公司治理研究中心执行主任，研究方向：公司治理、战略管理。</w:t>
            </w:r>
          </w:p>
        </w:tc>
      </w:tr>
      <w:tr w:rsidR="00D10BA1" w:rsidRPr="00B326F2" w:rsidTr="00B302FD">
        <w:trPr>
          <w:trHeight w:val="2252"/>
        </w:trPr>
        <w:tc>
          <w:tcPr>
            <w:tcW w:w="4592" w:type="dxa"/>
            <w:shd w:val="clear" w:color="auto" w:fill="E4E4E4"/>
            <w:vAlign w:val="center"/>
          </w:tcPr>
          <w:p w:rsidR="00D10BA1" w:rsidRPr="00B326F2" w:rsidRDefault="00D10BA1" w:rsidP="00041A8E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:rsidR="00D10BA1" w:rsidRPr="00B326F2" w:rsidRDefault="00D10BA1" w:rsidP="00041A8E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:rsidR="00D10BA1" w:rsidRPr="00B326F2" w:rsidRDefault="00D10BA1" w:rsidP="00041A8E">
            <w:pPr>
              <w:rPr>
                <w:rFonts w:ascii="宋体" w:eastAsia="宋体" w:hAnsi="宋体"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noProof/>
                <w:szCs w:val="21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ge">
                    <wp:posOffset>38100</wp:posOffset>
                  </wp:positionV>
                  <wp:extent cx="748665" cy="1126490"/>
                  <wp:effectExtent l="0" t="0" r="13335" b="16510"/>
                  <wp:wrapSquare wrapText="bothSides"/>
                  <wp:docPr id="2" name="图片 2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金占明：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Pr="00B326F2">
              <w:rPr>
                <w:rFonts w:ascii="宋体" w:eastAsia="宋体" w:hAnsi="宋体" w:hint="eastAsia"/>
                <w:szCs w:val="21"/>
              </w:rPr>
              <w:t>经管学院创新创业与战略系教授，博士生导师。研究方向：战略管理。</w:t>
            </w:r>
          </w:p>
        </w:tc>
        <w:tc>
          <w:tcPr>
            <w:tcW w:w="4592" w:type="dxa"/>
            <w:shd w:val="clear" w:color="auto" w:fill="E4E4E4"/>
            <w:vAlign w:val="center"/>
          </w:tcPr>
          <w:p w:rsidR="00D10BA1" w:rsidRPr="00B326F2" w:rsidRDefault="002C4AB9" w:rsidP="00041A8E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326F2">
              <w:rPr>
                <w:rFonts w:ascii="宋体" w:eastAsia="宋体" w:hAnsi="宋体" w:hint="eastAsia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ge">
                    <wp:posOffset>-25400</wp:posOffset>
                  </wp:positionV>
                  <wp:extent cx="821690" cy="1139190"/>
                  <wp:effectExtent l="0" t="0" r="0" b="3810"/>
                  <wp:wrapSquare wrapText="bothSides"/>
                  <wp:docPr id="3" name="图片 3" descr="1-15011315201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-15011315201b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0BA1" w:rsidRPr="00B326F2" w:rsidRDefault="00D10BA1" w:rsidP="00041A8E">
            <w:pPr>
              <w:rPr>
                <w:rFonts w:ascii="宋体" w:eastAsia="宋体" w:hAnsi="宋体"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周  立：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Pr="00B326F2">
              <w:rPr>
                <w:rFonts w:ascii="宋体" w:eastAsia="宋体" w:hAnsi="宋体" w:hint="eastAsia"/>
                <w:szCs w:val="21"/>
              </w:rPr>
              <w:t>经济管理学院会计系教授，研究方向：会计学、公共政策、研究</w:t>
            </w:r>
          </w:p>
        </w:tc>
      </w:tr>
      <w:tr w:rsidR="00D10BA1" w:rsidRPr="00B326F2" w:rsidTr="001175B7">
        <w:trPr>
          <w:trHeight w:val="2254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:rsidR="00D10BA1" w:rsidRPr="00B326F2" w:rsidRDefault="002C4AB9" w:rsidP="00041A8E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326F2">
              <w:rPr>
                <w:rFonts w:ascii="宋体" w:eastAsia="宋体" w:hAnsi="宋体" w:hint="eastAsia"/>
                <w:b/>
                <w:bCs/>
                <w:noProof/>
                <w:szCs w:val="21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ge">
                    <wp:posOffset>66040</wp:posOffset>
                  </wp:positionV>
                  <wp:extent cx="786765" cy="1125220"/>
                  <wp:effectExtent l="0" t="0" r="13335" b="17780"/>
                  <wp:wrapSquare wrapText="bothSides"/>
                  <wp:docPr id="5" name="图片 5" descr="韩秀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韩秀云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0BA1" w:rsidRPr="00B326F2" w:rsidRDefault="00D10BA1" w:rsidP="00041A8E">
            <w:pPr>
              <w:rPr>
                <w:rFonts w:ascii="宋体" w:eastAsia="宋体" w:hAnsi="宋体"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韩秀云：</w:t>
            </w:r>
            <w:r w:rsidRPr="00B326F2">
              <w:rPr>
                <w:rFonts w:ascii="宋体" w:eastAsia="宋体" w:hAnsi="宋体" w:hint="eastAsia"/>
                <w:szCs w:val="21"/>
              </w:rPr>
              <w:t>经济学家、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Pr="00B326F2">
              <w:rPr>
                <w:rFonts w:ascii="宋体" w:eastAsia="宋体" w:hAnsi="宋体" w:hint="eastAsia"/>
                <w:szCs w:val="21"/>
              </w:rPr>
              <w:t>经管学院经济系教授，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Pr="00B326F2">
              <w:rPr>
                <w:rFonts w:ascii="宋体" w:eastAsia="宋体" w:hAnsi="宋体" w:hint="eastAsia"/>
                <w:szCs w:val="21"/>
              </w:rPr>
              <w:t>中国经济研究中心高级研究员。研究方向：宏观经济学理论与中国经济实情的结合。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:rsidR="00D10BA1" w:rsidRPr="00B326F2" w:rsidRDefault="00D10BA1" w:rsidP="00041A8E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:rsidR="00D10BA1" w:rsidRPr="00B326F2" w:rsidRDefault="00D10BA1" w:rsidP="00041A8E">
            <w:pPr>
              <w:rPr>
                <w:rFonts w:ascii="宋体" w:eastAsia="宋体" w:hAnsi="宋体"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吴维库：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Pr="00B326F2">
              <w:rPr>
                <w:rFonts w:ascii="宋体" w:eastAsia="宋体" w:hAnsi="宋体" w:hint="eastAsia"/>
                <w:szCs w:val="21"/>
              </w:rPr>
              <w:t>经济管理学院领导力与组织管理系教授、博士生导师。研究方向：企业经营战略、企业内部管理及市场营销。</w:t>
            </w:r>
            <w:r w:rsidRPr="00B326F2">
              <w:rPr>
                <w:rFonts w:ascii="宋体" w:eastAsia="宋体" w:hAnsi="宋体" w:hint="eastAsia"/>
                <w:b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ge">
                    <wp:posOffset>19050</wp:posOffset>
                  </wp:positionV>
                  <wp:extent cx="787400" cy="1163955"/>
                  <wp:effectExtent l="0" t="0" r="12700" b="17145"/>
                  <wp:wrapSquare wrapText="bothSides"/>
                  <wp:docPr id="20" name="图片 20" descr="吴维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吴维库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0BA1" w:rsidRPr="00B326F2" w:rsidTr="001175B7">
        <w:trPr>
          <w:trHeight w:val="2244"/>
        </w:trPr>
        <w:tc>
          <w:tcPr>
            <w:tcW w:w="4592" w:type="dxa"/>
            <w:shd w:val="clear" w:color="auto" w:fill="E4E4E4"/>
            <w:vAlign w:val="center"/>
          </w:tcPr>
          <w:p w:rsidR="00D10BA1" w:rsidRPr="00B326F2" w:rsidRDefault="002C4AB9" w:rsidP="00041A8E">
            <w:pPr>
              <w:rPr>
                <w:rFonts w:ascii="宋体" w:eastAsia="宋体" w:hAnsi="宋体"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-38100</wp:posOffset>
                  </wp:positionV>
                  <wp:extent cx="819150" cy="1116330"/>
                  <wp:effectExtent l="0" t="0" r="0" b="7620"/>
                  <wp:wrapSquare wrapText="bothSides"/>
                  <wp:docPr id="28" name="图片 28" descr="房西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房西苑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0BA1" w:rsidRPr="00B326F2">
              <w:rPr>
                <w:rFonts w:ascii="宋体" w:eastAsia="宋体" w:hAnsi="宋体" w:hint="eastAsia"/>
                <w:b/>
                <w:bCs/>
                <w:szCs w:val="21"/>
              </w:rPr>
              <w:t>房西苑</w:t>
            </w:r>
            <w:r w:rsidR="00D10BA1" w:rsidRPr="00B326F2">
              <w:rPr>
                <w:rFonts w:ascii="宋体" w:eastAsia="宋体" w:hAnsi="宋体" w:hint="eastAsia"/>
                <w:szCs w:val="21"/>
              </w:rPr>
              <w:t>：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="00D10BA1" w:rsidRPr="00B326F2">
              <w:rPr>
                <w:rFonts w:ascii="宋体" w:eastAsia="宋体" w:hAnsi="宋体" w:hint="eastAsia"/>
                <w:szCs w:val="21"/>
              </w:rPr>
              <w:t>经管学院MBA教授，美加学员兼职教授，美国项目管理协会会员兼培训教授</w:t>
            </w:r>
            <w:r w:rsidR="00680F71" w:rsidRPr="00B326F2">
              <w:rPr>
                <w:rFonts w:ascii="宋体" w:eastAsia="宋体" w:hAnsi="宋体" w:hint="eastAsia"/>
                <w:szCs w:val="21"/>
              </w:rPr>
              <w:t>。辅导内容：《企业投融资战略》、《投融资案例分析》</w:t>
            </w:r>
            <w:r w:rsidR="00D10BA1" w:rsidRPr="00B326F2">
              <w:rPr>
                <w:rFonts w:ascii="宋体" w:eastAsia="宋体" w:hAnsi="宋体" w:hint="eastAsia"/>
                <w:szCs w:val="21"/>
              </w:rPr>
              <w:t>、《融资实务管理》、《企业资本运营战略》。</w:t>
            </w:r>
          </w:p>
        </w:tc>
        <w:tc>
          <w:tcPr>
            <w:tcW w:w="4592" w:type="dxa"/>
            <w:shd w:val="clear" w:color="auto" w:fill="E4E4E4"/>
            <w:vAlign w:val="center"/>
          </w:tcPr>
          <w:p w:rsidR="00D10BA1" w:rsidRPr="00B326F2" w:rsidRDefault="00D10BA1" w:rsidP="00041A8E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326F2">
              <w:rPr>
                <w:rFonts w:ascii="宋体" w:eastAsia="宋体" w:hAnsi="宋体" w:hint="eastAsia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29845</wp:posOffset>
                  </wp:positionV>
                  <wp:extent cx="810260" cy="1152525"/>
                  <wp:effectExtent l="0" t="0" r="8890" b="9525"/>
                  <wp:wrapSquare wrapText="bothSides"/>
                  <wp:docPr id="4" name="图片 4" descr="陈晋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陈晋蓉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0BA1" w:rsidRPr="00B326F2" w:rsidRDefault="00D10BA1" w:rsidP="00041A8E">
            <w:pPr>
              <w:rPr>
                <w:rFonts w:ascii="宋体" w:eastAsia="宋体" w:hAnsi="宋体"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陈晋蓉：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Pr="00B326F2">
              <w:rPr>
                <w:rFonts w:ascii="宋体" w:eastAsia="宋体" w:hAnsi="宋体" w:hint="eastAsia"/>
                <w:szCs w:val="21"/>
              </w:rPr>
              <w:t>经济管理学院教师。研究方向：公司财务管理、上市公司财务报告分析、企业资本运营。</w:t>
            </w:r>
          </w:p>
        </w:tc>
      </w:tr>
      <w:tr w:rsidR="00D10BA1" w:rsidRPr="00B326F2" w:rsidTr="001175B7">
        <w:trPr>
          <w:trHeight w:val="2301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:rsidR="00D10BA1" w:rsidRPr="00B326F2" w:rsidRDefault="002C4AB9" w:rsidP="00041A8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ge">
                    <wp:posOffset>85725</wp:posOffset>
                  </wp:positionV>
                  <wp:extent cx="838200" cy="1270000"/>
                  <wp:effectExtent l="0" t="0" r="0" b="6350"/>
                  <wp:wrapSquare wrapText="bothSides"/>
                  <wp:docPr id="27" name="图片 27" descr="翟山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翟山鹰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0BA1" w:rsidRPr="00B326F2" w:rsidRDefault="00D10BA1" w:rsidP="00041A8E">
            <w:pPr>
              <w:rPr>
                <w:rFonts w:ascii="宋体" w:eastAsia="宋体" w:hAnsi="宋体"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翟山鹰：</w:t>
            </w:r>
            <w:r w:rsidRPr="00B326F2">
              <w:rPr>
                <w:rFonts w:ascii="宋体" w:eastAsia="宋体" w:hAnsi="宋体" w:hint="eastAsia"/>
                <w:szCs w:val="21"/>
              </w:rPr>
              <w:t>中国特色金融理论思想的资本运营实操专家，中国金融领域实战派常青树，中国金融技术流派代表人。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:rsidR="00D10BA1" w:rsidRPr="00B326F2" w:rsidRDefault="00D10BA1" w:rsidP="00041A8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25400</wp:posOffset>
                  </wp:positionV>
                  <wp:extent cx="826770" cy="1257935"/>
                  <wp:effectExtent l="0" t="0" r="11430" b="18415"/>
                  <wp:wrapSquare wrapText="bothSides"/>
                  <wp:docPr id="35" name="图片 35" descr="陆满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陆满平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0BA1" w:rsidRPr="00B326F2" w:rsidRDefault="00D10BA1" w:rsidP="00041A8E">
            <w:pPr>
              <w:rPr>
                <w:rFonts w:ascii="宋体" w:eastAsia="宋体" w:hAnsi="宋体"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陆满平：</w:t>
            </w:r>
            <w:r w:rsidRPr="00B326F2">
              <w:rPr>
                <w:rFonts w:ascii="宋体" w:eastAsia="宋体" w:hAnsi="宋体" w:hint="eastAsia"/>
                <w:szCs w:val="21"/>
              </w:rPr>
              <w:t>深圳证券交易所研究员、教授，德邦证券首席经济学家兼投资银行总监。被媒体和业界誉为“中国MBO第一人”。</w:t>
            </w:r>
          </w:p>
        </w:tc>
      </w:tr>
      <w:tr w:rsidR="00D10BA1" w:rsidRPr="00B326F2" w:rsidTr="001175B7">
        <w:trPr>
          <w:trHeight w:val="2391"/>
        </w:trPr>
        <w:tc>
          <w:tcPr>
            <w:tcW w:w="4592" w:type="dxa"/>
            <w:shd w:val="clear" w:color="auto" w:fill="E4E4E4"/>
            <w:vAlign w:val="center"/>
          </w:tcPr>
          <w:p w:rsidR="00D10BA1" w:rsidRPr="00B326F2" w:rsidRDefault="002C4AB9" w:rsidP="00041A8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ge">
                    <wp:posOffset>-55245</wp:posOffset>
                  </wp:positionV>
                  <wp:extent cx="806450" cy="1223010"/>
                  <wp:effectExtent l="0" t="0" r="12700" b="15240"/>
                  <wp:wrapSquare wrapText="bothSides"/>
                  <wp:docPr id="37" name="图片 37" descr="2142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214239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0BA1" w:rsidRPr="00B326F2" w:rsidRDefault="00D10BA1" w:rsidP="00041A8E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:rsidR="00D10BA1" w:rsidRPr="00B326F2" w:rsidRDefault="00D10BA1" w:rsidP="00041A8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邹广文：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Pr="00B326F2">
              <w:rPr>
                <w:rFonts w:ascii="宋体" w:eastAsia="宋体" w:hAnsi="宋体" w:hint="eastAsia"/>
                <w:szCs w:val="21"/>
              </w:rPr>
              <w:t>人文学院教授、博士生导师，国务院特殊津贴获得者，著名文化哲学学者。</w:t>
            </w:r>
          </w:p>
        </w:tc>
        <w:tc>
          <w:tcPr>
            <w:tcW w:w="4592" w:type="dxa"/>
            <w:shd w:val="clear" w:color="auto" w:fill="E4E4E4"/>
            <w:vAlign w:val="center"/>
          </w:tcPr>
          <w:p w:rsidR="00D10BA1" w:rsidRPr="00B326F2" w:rsidRDefault="002C4AB9" w:rsidP="00041A8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ge">
                    <wp:posOffset>7620</wp:posOffset>
                  </wp:positionV>
                  <wp:extent cx="821690" cy="1276350"/>
                  <wp:effectExtent l="0" t="0" r="16510" b="0"/>
                  <wp:wrapSquare wrapText="bothSides"/>
                  <wp:docPr id="21" name="图片 21" descr="王晓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王晓毅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0BA1" w:rsidRPr="00B326F2" w:rsidRDefault="00D10BA1" w:rsidP="00041A8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326F2">
              <w:rPr>
                <w:rFonts w:ascii="宋体" w:eastAsia="宋体" w:hAnsi="宋体" w:hint="eastAsia"/>
                <w:b/>
                <w:bCs/>
                <w:szCs w:val="21"/>
              </w:rPr>
              <w:t>王晓毅：</w:t>
            </w:r>
            <w:r w:rsidRPr="00B326F2">
              <w:rPr>
                <w:rFonts w:ascii="宋体" w:eastAsia="宋体" w:hAnsi="宋体" w:hint="eastAsia"/>
                <w:szCs w:val="21"/>
              </w:rPr>
              <w:t>  中国研究《人物志》第一人，</w:t>
            </w:r>
            <w:r w:rsidR="00B326F2" w:rsidRPr="00B326F2">
              <w:rPr>
                <w:rFonts w:ascii="宋体" w:eastAsia="宋体" w:hAnsi="宋体" w:hint="eastAsia"/>
                <w:szCs w:val="21"/>
              </w:rPr>
              <w:t>清大</w:t>
            </w:r>
            <w:r w:rsidRPr="00B326F2">
              <w:rPr>
                <w:rFonts w:ascii="宋体" w:eastAsia="宋体" w:hAnsi="宋体" w:hint="eastAsia"/>
                <w:szCs w:val="21"/>
              </w:rPr>
              <w:t>教授，博士生导师。辅导内容：《企业人才的选用育留》、《中国传统文化中的管理思想》。</w:t>
            </w:r>
          </w:p>
        </w:tc>
      </w:tr>
    </w:tbl>
    <w:p w:rsidR="00B93D0B" w:rsidRPr="00B326F2" w:rsidRDefault="00B93D0B" w:rsidP="00327BBC">
      <w:pPr>
        <w:spacing w:line="560" w:lineRule="exact"/>
        <w:rPr>
          <w:rFonts w:ascii="宋体" w:eastAsia="宋体" w:hAnsi="宋体" w:cs="方正大黑简体"/>
          <w:b/>
          <w:bCs/>
          <w:color w:val="552579"/>
          <w:sz w:val="28"/>
          <w:szCs w:val="28"/>
        </w:rPr>
      </w:pPr>
    </w:p>
    <w:p w:rsidR="007D3658" w:rsidRPr="00B326F2" w:rsidRDefault="00FA492C" w:rsidP="00FD1442">
      <w:pPr>
        <w:tabs>
          <w:tab w:val="right" w:pos="9020"/>
        </w:tabs>
        <w:spacing w:line="640" w:lineRule="exact"/>
        <w:ind w:firstLineChars="200" w:firstLine="480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cs="宋体" w:hint="eastAsia"/>
          <w:sz w:val="24"/>
        </w:rPr>
        <w:lastRenderedPageBreak/>
        <w:t>自2006年举办至今，3000名学员企业已经覆盖了</w:t>
      </w:r>
      <w:r w:rsidRPr="00B326F2">
        <w:rPr>
          <w:rFonts w:ascii="宋体" w:eastAsia="宋体" w:hAnsi="宋体" w:cs="宋体"/>
          <w:sz w:val="24"/>
        </w:rPr>
        <w:t>34</w:t>
      </w:r>
      <w:r w:rsidRPr="00B326F2">
        <w:rPr>
          <w:rFonts w:ascii="宋体" w:eastAsia="宋体" w:hAnsi="宋体" w:cs="宋体" w:hint="eastAsia"/>
          <w:sz w:val="24"/>
        </w:rPr>
        <w:t>大行业，</w:t>
      </w:r>
      <w:r w:rsidRPr="00B326F2">
        <w:rPr>
          <w:rFonts w:ascii="宋体" w:eastAsia="宋体" w:hAnsi="宋体" w:cs="宋体"/>
          <w:sz w:val="24"/>
        </w:rPr>
        <w:t>216</w:t>
      </w:r>
      <w:r w:rsidRPr="00B326F2">
        <w:rPr>
          <w:rFonts w:ascii="宋体" w:eastAsia="宋体" w:hAnsi="宋体" w:cs="宋体" w:hint="eastAsia"/>
          <w:sz w:val="24"/>
        </w:rPr>
        <w:t>个产业类型。制造业企业占比</w:t>
      </w:r>
      <w:r w:rsidRPr="00B326F2">
        <w:rPr>
          <w:rFonts w:ascii="宋体" w:eastAsia="宋体" w:hAnsi="宋体" w:cs="宋体"/>
          <w:sz w:val="24"/>
        </w:rPr>
        <w:t>30%</w:t>
      </w:r>
      <w:r w:rsidRPr="00B326F2">
        <w:rPr>
          <w:rFonts w:ascii="宋体" w:eastAsia="宋体" w:hAnsi="宋体" w:cs="宋体" w:hint="eastAsia"/>
          <w:sz w:val="24"/>
        </w:rPr>
        <w:t>，建筑</w:t>
      </w:r>
      <w:r w:rsidRPr="00B326F2">
        <w:rPr>
          <w:rFonts w:ascii="宋体" w:eastAsia="宋体" w:hAnsi="宋体" w:cs="宋体"/>
          <w:sz w:val="24"/>
        </w:rPr>
        <w:t>/</w:t>
      </w:r>
      <w:r w:rsidRPr="00B326F2">
        <w:rPr>
          <w:rFonts w:ascii="宋体" w:eastAsia="宋体" w:hAnsi="宋体" w:cs="宋体" w:hint="eastAsia"/>
          <w:sz w:val="24"/>
        </w:rPr>
        <w:t>房地产行业企业占比25</w:t>
      </w:r>
      <w:r w:rsidRPr="00B326F2">
        <w:rPr>
          <w:rFonts w:ascii="宋体" w:eastAsia="宋体" w:hAnsi="宋体" w:cs="宋体"/>
          <w:sz w:val="24"/>
        </w:rPr>
        <w:t>%</w:t>
      </w:r>
      <w:r w:rsidRPr="00B326F2">
        <w:rPr>
          <w:rFonts w:ascii="宋体" w:eastAsia="宋体" w:hAnsi="宋体" w:cs="宋体" w:hint="eastAsia"/>
          <w:sz w:val="24"/>
        </w:rPr>
        <w:t>，金融及投融资行业企业占比</w:t>
      </w:r>
      <w:r w:rsidRPr="00B326F2">
        <w:rPr>
          <w:rFonts w:ascii="宋体" w:eastAsia="宋体" w:hAnsi="宋体" w:cs="宋体"/>
          <w:sz w:val="24"/>
        </w:rPr>
        <w:t>1</w:t>
      </w:r>
      <w:r w:rsidRPr="00B326F2">
        <w:rPr>
          <w:rFonts w:ascii="宋体" w:eastAsia="宋体" w:hAnsi="宋体" w:cs="宋体" w:hint="eastAsia"/>
          <w:sz w:val="24"/>
        </w:rPr>
        <w:t>8</w:t>
      </w:r>
      <w:r w:rsidRPr="00B326F2">
        <w:rPr>
          <w:rFonts w:ascii="宋体" w:eastAsia="宋体" w:hAnsi="宋体" w:cs="宋体"/>
          <w:sz w:val="24"/>
        </w:rPr>
        <w:t>%</w:t>
      </w:r>
      <w:r w:rsidRPr="00B326F2">
        <w:rPr>
          <w:rFonts w:ascii="宋体" w:eastAsia="宋体" w:hAnsi="宋体" w:cs="宋体" w:hint="eastAsia"/>
          <w:sz w:val="24"/>
        </w:rPr>
        <w:t>。平均年龄39岁，平工作经验</w:t>
      </w:r>
      <w:r w:rsidRPr="00B326F2">
        <w:rPr>
          <w:rFonts w:ascii="宋体" w:eastAsia="宋体" w:hAnsi="宋体" w:cs="宋体"/>
          <w:sz w:val="24"/>
        </w:rPr>
        <w:t>1</w:t>
      </w:r>
      <w:r w:rsidRPr="00B326F2">
        <w:rPr>
          <w:rFonts w:ascii="宋体" w:eastAsia="宋体" w:hAnsi="宋体" w:cs="宋体" w:hint="eastAsia"/>
          <w:sz w:val="24"/>
        </w:rPr>
        <w:t>0年，平均管理经验8年，高层管理人员比例超过</w:t>
      </w:r>
      <w:r w:rsidRPr="00B326F2">
        <w:rPr>
          <w:rFonts w:ascii="宋体" w:eastAsia="宋体" w:hAnsi="宋体" w:cs="宋体"/>
          <w:sz w:val="24"/>
        </w:rPr>
        <w:t>95%</w:t>
      </w:r>
      <w:r w:rsidRPr="00B326F2">
        <w:rPr>
          <w:rFonts w:ascii="宋体" w:eastAsia="宋体" w:hAnsi="宋体" w:cs="宋体" w:hint="eastAsia"/>
          <w:sz w:val="24"/>
        </w:rPr>
        <w:t>。</w:t>
      </w:r>
    </w:p>
    <w:p w:rsidR="007D3658" w:rsidRPr="00B326F2" w:rsidRDefault="00FA492C" w:rsidP="00FD1442">
      <w:pPr>
        <w:spacing w:line="640" w:lineRule="exact"/>
        <w:rPr>
          <w:rFonts w:ascii="宋体" w:eastAsia="宋体" w:hAnsi="宋体"/>
        </w:rPr>
      </w:pPr>
      <w:r w:rsidRPr="00B326F2">
        <w:rPr>
          <w:rFonts w:ascii="宋体" w:eastAsia="宋体" w:hAnsi="宋体" w:hint="eastAsia"/>
          <w:noProof/>
        </w:rPr>
        <w:drawing>
          <wp:inline distT="0" distB="0" distL="114300" distR="114300">
            <wp:extent cx="5727065" cy="824865"/>
            <wp:effectExtent l="0" t="0" r="6985" b="13335"/>
            <wp:docPr id="6" name="图片 6" descr="企业单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企业单位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58" w:rsidRPr="00B326F2" w:rsidRDefault="00FA492C" w:rsidP="00FD1442">
      <w:pPr>
        <w:spacing w:line="640" w:lineRule="exact"/>
        <w:rPr>
          <w:rFonts w:ascii="宋体" w:eastAsia="宋体" w:hAnsi="宋体" w:cs="方正大黑简体"/>
          <w:b/>
          <w:bCs/>
          <w:color w:val="552579"/>
          <w:sz w:val="28"/>
          <w:szCs w:val="28"/>
        </w:rPr>
      </w:pPr>
      <w:bookmarkStart w:id="3" w:name="_Hlk480380881"/>
      <w:r w:rsidRPr="00B326F2">
        <w:rPr>
          <w:rFonts w:ascii="宋体" w:eastAsia="宋体" w:hAnsi="宋体" w:cs="方正大黑简体" w:hint="eastAsia"/>
          <w:b/>
          <w:bCs/>
          <w:color w:val="552579"/>
          <w:sz w:val="28"/>
          <w:szCs w:val="28"/>
        </w:rPr>
        <w:t>【学习收获】</w:t>
      </w:r>
    </w:p>
    <w:bookmarkEnd w:id="3"/>
    <w:p w:rsidR="007D3658" w:rsidRPr="00B326F2" w:rsidRDefault="007726A8" w:rsidP="00FD1442">
      <w:pPr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cs="宋体" w:hint="eastAsia"/>
          <w:sz w:val="24"/>
        </w:rPr>
        <w:t>◆</w:t>
      </w:r>
      <w:r w:rsidR="00FA492C" w:rsidRPr="00B326F2">
        <w:rPr>
          <w:rFonts w:ascii="宋体" w:eastAsia="宋体" w:hAnsi="宋体" w:cs="宋体" w:hint="eastAsia"/>
          <w:sz w:val="24"/>
        </w:rPr>
        <w:t>解决问题：解决企业发展问题，辅翼企业健康稳定可持续发展。</w:t>
      </w:r>
    </w:p>
    <w:p w:rsidR="007D3658" w:rsidRPr="00B326F2" w:rsidRDefault="007726A8" w:rsidP="00FD1442">
      <w:pPr>
        <w:tabs>
          <w:tab w:val="right" w:pos="9020"/>
        </w:tabs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cs="宋体" w:hint="eastAsia"/>
          <w:sz w:val="24"/>
        </w:rPr>
        <w:t>◆</w:t>
      </w:r>
      <w:r w:rsidR="00FA492C" w:rsidRPr="00B326F2">
        <w:rPr>
          <w:rFonts w:ascii="宋体" w:eastAsia="宋体" w:hAnsi="宋体" w:cs="宋体" w:hint="eastAsia"/>
          <w:sz w:val="24"/>
        </w:rPr>
        <w:t>缔结信任：汇聚信任优秀企业，结合各自优势实现多样化合作。</w:t>
      </w:r>
    </w:p>
    <w:p w:rsidR="007D3658" w:rsidRPr="00B326F2" w:rsidRDefault="007726A8" w:rsidP="00FD1442">
      <w:pPr>
        <w:tabs>
          <w:tab w:val="right" w:pos="9020"/>
        </w:tabs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cs="宋体" w:hint="eastAsia"/>
          <w:sz w:val="24"/>
        </w:rPr>
        <w:t>◆</w:t>
      </w:r>
      <w:r w:rsidR="00FA492C" w:rsidRPr="00B326F2">
        <w:rPr>
          <w:rFonts w:ascii="宋体" w:eastAsia="宋体" w:hAnsi="宋体" w:cs="宋体" w:hint="eastAsia"/>
          <w:sz w:val="24"/>
        </w:rPr>
        <w:t>合作共赢：打造优秀精英平台，实现汇仁汇智汇商合作资源库。</w:t>
      </w:r>
    </w:p>
    <w:p w:rsidR="007D3658" w:rsidRPr="00B326F2" w:rsidRDefault="007726A8" w:rsidP="00FD1442">
      <w:pPr>
        <w:tabs>
          <w:tab w:val="right" w:pos="9020"/>
        </w:tabs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cs="宋体" w:hint="eastAsia"/>
          <w:sz w:val="24"/>
        </w:rPr>
        <w:t>◆</w:t>
      </w:r>
      <w:r w:rsidR="00FA492C" w:rsidRPr="00B326F2">
        <w:rPr>
          <w:rFonts w:ascii="宋体" w:eastAsia="宋体" w:hAnsi="宋体" w:cs="宋体" w:hint="eastAsia"/>
          <w:sz w:val="24"/>
        </w:rPr>
        <w:t>智库支持：</w:t>
      </w:r>
      <w:r w:rsidR="00B326F2" w:rsidRPr="00B326F2">
        <w:rPr>
          <w:rFonts w:ascii="宋体" w:eastAsia="宋体" w:hAnsi="宋体" w:cs="宋体" w:hint="eastAsia"/>
          <w:sz w:val="24"/>
        </w:rPr>
        <w:t>清大</w:t>
      </w:r>
      <w:r w:rsidR="00FA492C" w:rsidRPr="00B326F2">
        <w:rPr>
          <w:rFonts w:ascii="宋体" w:eastAsia="宋体" w:hAnsi="宋体" w:cs="宋体" w:hint="eastAsia"/>
          <w:sz w:val="24"/>
        </w:rPr>
        <w:t>最优产研教授，实战投资专家产业资本投融资。</w:t>
      </w:r>
    </w:p>
    <w:p w:rsidR="007D3658" w:rsidRPr="00B326F2" w:rsidRDefault="007726A8" w:rsidP="00FD1442">
      <w:pPr>
        <w:tabs>
          <w:tab w:val="right" w:pos="9020"/>
        </w:tabs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cs="宋体" w:hint="eastAsia"/>
          <w:sz w:val="24"/>
        </w:rPr>
        <w:t>◆</w:t>
      </w:r>
      <w:r w:rsidR="00FA492C" w:rsidRPr="00B326F2">
        <w:rPr>
          <w:rFonts w:ascii="宋体" w:eastAsia="宋体" w:hAnsi="宋体" w:cs="宋体" w:hint="eastAsia"/>
          <w:sz w:val="24"/>
        </w:rPr>
        <w:t>产业支持：清控产业资本对接，汇集健康医疗及并购基金产业。</w:t>
      </w:r>
    </w:p>
    <w:p w:rsidR="007D3658" w:rsidRPr="00B326F2" w:rsidRDefault="007726A8" w:rsidP="00FD1442">
      <w:pPr>
        <w:spacing w:line="640" w:lineRule="exact"/>
        <w:rPr>
          <w:rFonts w:ascii="宋体" w:eastAsia="宋体" w:hAnsi="宋体" w:cs="方正大黑简体"/>
          <w:b/>
          <w:bCs/>
          <w:color w:val="552579"/>
          <w:sz w:val="28"/>
          <w:szCs w:val="28"/>
        </w:rPr>
      </w:pPr>
      <w:bookmarkStart w:id="4" w:name="_Hlk480381650"/>
      <w:r w:rsidRPr="00B326F2">
        <w:rPr>
          <w:rFonts w:ascii="宋体" w:eastAsia="宋体" w:hAnsi="宋体" w:cs="方正大黑简体" w:hint="eastAsia"/>
          <w:b/>
          <w:bCs/>
          <w:color w:val="552579"/>
          <w:sz w:val="28"/>
          <w:szCs w:val="28"/>
        </w:rPr>
        <w:t>【招生对象】</w:t>
      </w:r>
      <w:bookmarkEnd w:id="4"/>
    </w:p>
    <w:p w:rsidR="008C2704" w:rsidRPr="00B326F2" w:rsidRDefault="0010197C" w:rsidP="00FD1442">
      <w:pPr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hint="eastAsia"/>
          <w:color w:val="000000"/>
          <w:szCs w:val="21"/>
        </w:rPr>
        <w:sym w:font="Wingdings" w:char="F0D8"/>
      </w:r>
      <w:r w:rsidR="00FA492C" w:rsidRPr="00B326F2">
        <w:rPr>
          <w:rFonts w:ascii="宋体" w:eastAsia="宋体" w:hAnsi="宋体" w:cs="宋体" w:hint="eastAsia"/>
          <w:sz w:val="24"/>
        </w:rPr>
        <w:t>企业董事长、CEO、总经理等企业高管；</w:t>
      </w:r>
    </w:p>
    <w:p w:rsidR="008C2704" w:rsidRPr="00B326F2" w:rsidRDefault="0010197C" w:rsidP="00FD1442">
      <w:pPr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hint="eastAsia"/>
          <w:color w:val="000000"/>
          <w:szCs w:val="21"/>
        </w:rPr>
        <w:sym w:font="Wingdings" w:char="F0D8"/>
      </w:r>
      <w:r w:rsidR="00FA492C" w:rsidRPr="00B326F2">
        <w:rPr>
          <w:rFonts w:ascii="宋体" w:eastAsia="宋体" w:hAnsi="宋体" w:cs="宋体" w:hint="eastAsia"/>
          <w:sz w:val="24"/>
        </w:rPr>
        <w:t xml:space="preserve">银行、证券等金融机构的决策者及高级管理者； </w:t>
      </w:r>
    </w:p>
    <w:p w:rsidR="008C2704" w:rsidRPr="00B326F2" w:rsidRDefault="0010197C" w:rsidP="00FD1442">
      <w:pPr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hint="eastAsia"/>
          <w:color w:val="000000"/>
          <w:szCs w:val="21"/>
        </w:rPr>
        <w:sym w:font="Wingdings" w:char="F0D8"/>
      </w:r>
      <w:r w:rsidR="00FA492C" w:rsidRPr="00B326F2">
        <w:rPr>
          <w:rFonts w:ascii="宋体" w:eastAsia="宋体" w:hAnsi="宋体" w:cs="宋体" w:hint="eastAsia"/>
          <w:sz w:val="24"/>
        </w:rPr>
        <w:t xml:space="preserve">上市公司和拟上市公司的高层管理者； </w:t>
      </w:r>
    </w:p>
    <w:p w:rsidR="008C2704" w:rsidRPr="00B326F2" w:rsidRDefault="0010197C" w:rsidP="00FD1442">
      <w:pPr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hint="eastAsia"/>
          <w:color w:val="000000"/>
          <w:szCs w:val="21"/>
        </w:rPr>
        <w:sym w:font="Wingdings" w:char="F0D8"/>
      </w:r>
      <w:r w:rsidR="00FA492C" w:rsidRPr="00B326F2">
        <w:rPr>
          <w:rFonts w:ascii="宋体" w:eastAsia="宋体" w:hAnsi="宋体" w:cs="宋体" w:hint="eastAsia"/>
          <w:sz w:val="24"/>
        </w:rPr>
        <w:t xml:space="preserve">控股公司/集团公司高层管理人员； </w:t>
      </w:r>
    </w:p>
    <w:p w:rsidR="007D3658" w:rsidRPr="00B326F2" w:rsidRDefault="0010197C" w:rsidP="00FD1442">
      <w:pPr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hint="eastAsia"/>
          <w:color w:val="000000"/>
          <w:szCs w:val="21"/>
        </w:rPr>
        <w:sym w:font="Wingdings" w:char="F0D8"/>
      </w:r>
      <w:r w:rsidR="008C2704" w:rsidRPr="00B326F2">
        <w:rPr>
          <w:rFonts w:ascii="宋体" w:eastAsia="宋体" w:hAnsi="宋体" w:cs="宋体" w:hint="eastAsia"/>
          <w:sz w:val="24"/>
        </w:rPr>
        <w:t>各类从事实业、股权投资或投资管理的专业人士和高层管理者</w:t>
      </w:r>
    </w:p>
    <w:p w:rsidR="008C2704" w:rsidRPr="00B326F2" w:rsidRDefault="008C2704" w:rsidP="00FD1442">
      <w:pPr>
        <w:spacing w:line="640" w:lineRule="exact"/>
        <w:rPr>
          <w:rFonts w:ascii="宋体" w:eastAsia="宋体" w:hAnsi="宋体" w:cs="方正大黑简体"/>
          <w:b/>
          <w:bCs/>
          <w:color w:val="552579"/>
          <w:sz w:val="28"/>
          <w:szCs w:val="28"/>
        </w:rPr>
      </w:pPr>
      <w:bookmarkStart w:id="5" w:name="_Hlk480381913"/>
      <w:r w:rsidRPr="00B326F2">
        <w:rPr>
          <w:rFonts w:ascii="宋体" w:eastAsia="宋体" w:hAnsi="宋体" w:cs="方正大黑简体" w:hint="eastAsia"/>
          <w:b/>
          <w:bCs/>
          <w:color w:val="552579"/>
          <w:sz w:val="28"/>
          <w:szCs w:val="28"/>
        </w:rPr>
        <w:t>【学习安排】</w:t>
      </w:r>
    </w:p>
    <w:bookmarkEnd w:id="5"/>
    <w:p w:rsidR="00F715FB" w:rsidRPr="00B326F2" w:rsidRDefault="00FA492C" w:rsidP="00FD1442">
      <w:pPr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cs="宋体" w:hint="eastAsia"/>
          <w:sz w:val="24"/>
        </w:rPr>
        <w:t>学制一年，每月集中授课2</w:t>
      </w:r>
      <w:r w:rsidR="003F0FBA" w:rsidRPr="00B326F2">
        <w:rPr>
          <w:rFonts w:ascii="宋体" w:eastAsia="宋体" w:hAnsi="宋体" w:cs="宋体" w:hint="eastAsia"/>
          <w:sz w:val="24"/>
        </w:rPr>
        <w:t>-</w:t>
      </w:r>
      <w:r w:rsidR="003F0FBA" w:rsidRPr="00B326F2">
        <w:rPr>
          <w:rFonts w:ascii="宋体" w:eastAsia="宋体" w:hAnsi="宋体" w:cs="宋体"/>
          <w:sz w:val="24"/>
        </w:rPr>
        <w:t>3</w:t>
      </w:r>
      <w:r w:rsidR="00490ECA" w:rsidRPr="00B326F2">
        <w:rPr>
          <w:rFonts w:ascii="宋体" w:eastAsia="宋体" w:hAnsi="宋体" w:cs="宋体" w:hint="eastAsia"/>
          <w:sz w:val="24"/>
        </w:rPr>
        <w:t>天（六、日），共</w:t>
      </w:r>
      <w:r w:rsidR="00490ECA" w:rsidRPr="00B326F2">
        <w:rPr>
          <w:rFonts w:ascii="宋体" w:eastAsia="宋体" w:hAnsi="宋体" w:cs="宋体"/>
          <w:sz w:val="24"/>
        </w:rPr>
        <w:t>18天</w:t>
      </w:r>
      <w:r w:rsidR="00F715FB" w:rsidRPr="00B326F2">
        <w:rPr>
          <w:rFonts w:ascii="宋体" w:eastAsia="宋体" w:hAnsi="宋体" w:cs="宋体" w:hint="eastAsia"/>
          <w:sz w:val="24"/>
        </w:rPr>
        <w:t>课程.</w:t>
      </w:r>
    </w:p>
    <w:p w:rsidR="002A180D" w:rsidRPr="00B326F2" w:rsidRDefault="002A180D" w:rsidP="00FD1442">
      <w:pPr>
        <w:spacing w:line="640" w:lineRule="exact"/>
        <w:rPr>
          <w:rFonts w:ascii="宋体" w:eastAsia="宋体" w:hAnsi="宋体" w:cs="方正大黑简体"/>
          <w:b/>
          <w:bCs/>
          <w:color w:val="552579"/>
          <w:sz w:val="28"/>
          <w:szCs w:val="28"/>
        </w:rPr>
      </w:pPr>
      <w:bookmarkStart w:id="6" w:name="_Hlk480382136"/>
      <w:r w:rsidRPr="00B326F2">
        <w:rPr>
          <w:rFonts w:ascii="宋体" w:eastAsia="宋体" w:hAnsi="宋体" w:cs="方正大黑简体" w:hint="eastAsia"/>
          <w:b/>
          <w:bCs/>
          <w:color w:val="552579"/>
          <w:sz w:val="28"/>
          <w:szCs w:val="28"/>
        </w:rPr>
        <w:t>【学习费用】</w:t>
      </w:r>
    </w:p>
    <w:bookmarkEnd w:id="6"/>
    <w:p w:rsidR="002E557E" w:rsidRPr="00B326F2" w:rsidRDefault="009669FA" w:rsidP="00FD1442">
      <w:pPr>
        <w:spacing w:line="640" w:lineRule="exact"/>
        <w:rPr>
          <w:rFonts w:ascii="宋体" w:eastAsia="宋体" w:hAnsi="宋体" w:cs="宋体"/>
          <w:sz w:val="24"/>
        </w:rPr>
      </w:pPr>
      <w:r w:rsidRPr="00B326F2">
        <w:rPr>
          <w:rFonts w:ascii="宋体" w:eastAsia="宋体" w:hAnsi="宋体" w:cs="宋体" w:hint="eastAsia"/>
          <w:b/>
          <w:sz w:val="24"/>
        </w:rPr>
        <w:t>78000</w:t>
      </w:r>
      <w:r w:rsidRPr="00B326F2">
        <w:rPr>
          <w:rFonts w:ascii="宋体" w:eastAsia="宋体" w:hAnsi="宋体" w:cs="宋体" w:hint="eastAsia"/>
          <w:sz w:val="24"/>
        </w:rPr>
        <w:t>元/人/学年（本期特惠到2</w:t>
      </w:r>
      <w:r w:rsidR="003E0204" w:rsidRPr="00B326F2">
        <w:rPr>
          <w:rFonts w:ascii="宋体" w:eastAsia="宋体" w:hAnsi="宋体" w:cs="宋体" w:hint="eastAsia"/>
          <w:sz w:val="24"/>
        </w:rPr>
        <w:t>万</w:t>
      </w:r>
      <w:r w:rsidRPr="00B326F2">
        <w:rPr>
          <w:rFonts w:ascii="宋体" w:eastAsia="宋体" w:hAnsi="宋体" w:cs="宋体" w:hint="eastAsia"/>
          <w:sz w:val="24"/>
        </w:rPr>
        <w:t>/</w:t>
      </w:r>
      <w:bookmarkStart w:id="7" w:name="_Hlk480382151"/>
      <w:r w:rsidR="002E557E" w:rsidRPr="00B326F2">
        <w:rPr>
          <w:rFonts w:ascii="宋体" w:eastAsia="宋体" w:hAnsi="宋体" w:cs="宋体" w:hint="eastAsia"/>
          <w:sz w:val="24"/>
        </w:rPr>
        <w:t>人，含一年的教学、教材、资料）</w:t>
      </w:r>
    </w:p>
    <w:bookmarkEnd w:id="7"/>
    <w:p w:rsidR="00B44DB9" w:rsidRDefault="00B44DB9" w:rsidP="00B44DB9">
      <w:pPr>
        <w:ind w:leftChars="-67" w:left="-65" w:hangingChars="27" w:hanging="76"/>
        <w:jc w:val="center"/>
        <w:rPr>
          <w:rFonts w:ascii="宋体" w:eastAsia="宋体" w:hAnsi="宋体" w:cs="方正大黑简体" w:hint="eastAsia"/>
          <w:b/>
          <w:bCs/>
          <w:color w:val="552579"/>
          <w:sz w:val="28"/>
          <w:szCs w:val="28"/>
        </w:rPr>
      </w:pPr>
    </w:p>
    <w:p w:rsidR="00B44DB9" w:rsidRDefault="00B44DB9" w:rsidP="00B44DB9">
      <w:pPr>
        <w:ind w:leftChars="-67" w:left="-65" w:hangingChars="27" w:hanging="76"/>
        <w:jc w:val="center"/>
        <w:rPr>
          <w:rFonts w:ascii="宋体" w:eastAsia="宋体" w:hAnsi="宋体" w:cs="方正大黑简体" w:hint="eastAsia"/>
          <w:b/>
          <w:bCs/>
          <w:color w:val="552579"/>
          <w:sz w:val="28"/>
          <w:szCs w:val="28"/>
        </w:rPr>
      </w:pPr>
    </w:p>
    <w:p w:rsidR="00C07A03" w:rsidRPr="00B326F2" w:rsidRDefault="00C07A03" w:rsidP="00B44DB9">
      <w:pPr>
        <w:ind w:leftChars="-67" w:hangingChars="27" w:hanging="141"/>
        <w:jc w:val="center"/>
        <w:rPr>
          <w:rFonts w:ascii="宋体" w:eastAsia="宋体" w:hAnsi="宋体" w:cs="方正大黑简体"/>
          <w:b/>
          <w:bCs/>
          <w:color w:val="552579"/>
          <w:sz w:val="52"/>
          <w:szCs w:val="52"/>
        </w:rPr>
      </w:pPr>
      <w:r w:rsidRPr="00B326F2">
        <w:rPr>
          <w:rFonts w:ascii="宋体" w:eastAsia="宋体" w:hAnsi="宋体" w:cs="方正大黑简体" w:hint="eastAsia"/>
          <w:b/>
          <w:bCs/>
          <w:color w:val="552579"/>
          <w:sz w:val="52"/>
          <w:szCs w:val="52"/>
        </w:rPr>
        <w:lastRenderedPageBreak/>
        <w:t>公 司 治 理 与 资 本 运 作 总 裁 班</w:t>
      </w:r>
    </w:p>
    <w:p w:rsidR="00A037D0" w:rsidRPr="00B326F2" w:rsidRDefault="007D50A5" w:rsidP="00A037D0">
      <w:pPr>
        <w:pStyle w:val="a5"/>
        <w:pBdr>
          <w:bottom w:val="none" w:sz="0" w:space="0" w:color="auto"/>
        </w:pBdr>
        <w:spacing w:line="276" w:lineRule="auto"/>
        <w:rPr>
          <w:rFonts w:ascii="宋体" w:eastAsia="宋体" w:hAnsi="宋体" w:cs="Times New Roman"/>
          <w:b/>
          <w:color w:val="000000" w:themeColor="text1"/>
          <w:kern w:val="0"/>
          <w:sz w:val="24"/>
        </w:rPr>
      </w:pPr>
      <w:bookmarkStart w:id="8" w:name="OLE_LINK1"/>
      <w:bookmarkStart w:id="9" w:name="_Hlk481599212"/>
      <w:r w:rsidRPr="007D50A5">
        <w:rPr>
          <w:rFonts w:ascii="宋体" w:eastAsia="宋体" w:hAnsi="宋体" w:cs="Times New Roman"/>
          <w:b/>
          <w:noProof/>
          <w:color w:val="000000" w:themeColor="text1"/>
          <w:kern w:val="0"/>
          <w:sz w:val="32"/>
          <w:szCs w:val="32"/>
        </w:rPr>
        <w:pict>
          <v:line id="直接连接符 8" o:spid="_x0000_s1028" style="position:absolute;left:0;text-align:left;z-index:251663360;visibility:visible" from="-7.25pt,6pt" to="46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TJLAIAADIEAAAOAAAAZHJzL2Uyb0RvYy54bWysU0GO0zAU3SNxByv7NklJSxs1HaGkZTNA&#10;pRkO4NpOY+HYlu02rRBX4AJI7GDFkj23YTgG305bzQwbhNg43/bP++//9zy/OrQC7ZmxXMkiSodJ&#10;hJgkinK5LaK3t6vBNELWYUmxUJIV0ZHZ6Grx9Mm80zkbqUYJygwCEGnzThdR45zO49iShrXYDpVm&#10;Ei5rZVrsYGu2MTW4A/RWxKMkmcSdMlQbRZi1cFr1l9Ei4Nc1I+5NXVvmkCgi4ObCasK68Wu8mON8&#10;a7BuODnRwP/AosVcQtELVIUdRjvD/4BqOTHKqtoNiWpjVdecsNADdJMmj7q5abBmoRcYjtWXMdn/&#10;B0te79cGcVpEIJTELUh09+n7z49ffv34DOvdt69o6ofUaZtDbinXxrdJDvJGXyvyziKpygbLLQtk&#10;b48aEFL/R/zgF7+xGkptuleKQg7eORUmdqhN6yFhFugQhDlehGEHhwgcTpJ0Nk1APwJ3s/FoHArg&#10;/PyvNta9ZKpFPigiwaUfG87x/to6zwXn5xR/LNWKCxGkFxJ1vpw/tkpw6m/CxjuQlcKgPQbvuEPf&#10;1KMso3aSBqCGYbo8xQ5z0cdQWEgPB50AlVPUO+P9LJktp8tpNshGk+UgS6pq8GJVZoPJKn0+rp5V&#10;ZVmlHzyzNMsbTimTntzZpWn2dy44vZfeXxefXkYQP0QPswKy528gHaT06vU+2Ch6XJuzxGDMkHx6&#10;RN759/cQ33/qi98AAAD//wMAUEsDBBQABgAIAAAAIQDKyYpy3QAAAAkBAAAPAAAAZHJzL2Rvd25y&#10;ZXYueG1sTE9NS8NAEL0L/Q/LFLy1mzYqbcymiFCwIKjVQ4/T7DQJzc6G7LaJ/97xpKfhffDmvXwz&#10;ulZdqQ+NZwOLeQKKuPS24crA1+d2tgIVIrLF1jMZ+KYAm2Jyk2Nm/cAfdN3HSkkIhwwN1DF2mdah&#10;rMlhmPuOWLST7x1GgX2lbY+DhLtWL5PkQTtsWD7U2NFzTeV5f3EGaPeuXw7bdNed1i6E89tqGA6v&#10;xtxOx6dHUJHG+GeG3/pSHQrpdPQXtkG1BmaLu3uxirCUTWJYp6kQRyHk6iLX/xcUPwAAAP//AwBQ&#10;SwECLQAUAAYACAAAACEAtoM4kv4AAADhAQAAEwAAAAAAAAAAAAAAAAAAAAAAW0NvbnRlbnRfVHlw&#10;ZXNdLnhtbFBLAQItABQABgAIAAAAIQA4/SH/1gAAAJQBAAALAAAAAAAAAAAAAAAAAC8BAABfcmVs&#10;cy8ucmVsc1BLAQItABQABgAIAAAAIQBSUQTJLAIAADIEAAAOAAAAAAAAAAAAAAAAAC4CAABkcnMv&#10;ZTJvRG9jLnhtbFBLAQItABQABgAIAAAAIQDKyYpy3QAAAAkBAAAPAAAAAAAAAAAAAAAAAIYEAABk&#10;cnMvZG93bnJldi54bWxQSwUGAAAAAAQABADzAAAAkAUAAAAA&#10;" strokecolor="black [3213]" strokeweight="0"/>
        </w:pict>
      </w:r>
      <w:r w:rsidRPr="007D50A5">
        <w:rPr>
          <w:rFonts w:ascii="宋体" w:eastAsia="宋体" w:hAnsi="宋体" w:cs="Times New Roman"/>
          <w:b/>
          <w:noProof/>
          <w:color w:val="000000" w:themeColor="text1"/>
          <w:kern w:val="0"/>
          <w:sz w:val="52"/>
          <w:szCs w:val="52"/>
        </w:rPr>
        <w:pict>
          <v:line id="直接连接符 7" o:spid="_x0000_s1027" style="position:absolute;left:0;text-align:left;z-index:251665408;visibility:visible" from="-7.25pt,9.75pt" to="467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2nNwIAADgEAAAOAAAAZHJzL2Uyb0RvYy54bWysU0uOEzEQ3SNxB8v7THdn8m2lMxp1J2wG&#10;iDTDARzbnbZw25btSSdCXIELILGDFUv23IbhGJSdj2ZggxCbctmuen5V9Ty72rUSbbl1QqsCZxcp&#10;RlxRzYTaFPjN3bI3wch5ohiRWvEC77nDV/Pnz2adyXlfN1oybhGAKJd3psCN9yZPEkcb3hJ3oQ1X&#10;cFlr2xIPW7tJmCUdoLcy6afpKOm0ZcZqyp2D0+pwiecRv6459a/r2nGPZIGBm4/WRrsONpnPSL6x&#10;xDSCHmmQf2DREqHg0TNURTxB91b8AdUKarXTtb+guk10XQvKYw1QTZb+Vs1tQwyPtUBznDm3yf0/&#10;WPpqu7JIsAKPMVKkhRE9fPz248Pnn98/gX34+gWNQ5M643KILdXKhjLpTt2aG03fOqR02RC14ZHs&#10;3d4AQhYykicpYeMMPLXuXmoGMeTe69ixXW3bAAm9QLs4mP15MHznEYXDUdqfXvaHGFG4y9LxdBhf&#10;IPkp2VjnX3DdouAUWAoV+kZysr1xPpAh+SkkHCu9FFLG2UuFugL3J8PxMGY4LQULtyHO2c26lBZt&#10;CchnnF6m11ExgPYkzOp7xSJawwlbHH1PhDz4EC9VwIN6gM/RO+jj3TSdLiaLyaA36I8WvUFaVb3r&#10;ZTnojZbZeFhdVmVZZe8DtWyQN4IxrgK7k1azwd9p4fhrDio7q/Xch+QpemwYkD2tkXQcaJjhQQ1r&#10;zfYrexo0yDMGH79S0P/jPfiPP/z8FwAAAP//AwBQSwMEFAAGAAgAAAAhALNP8eXfAAAACQEAAA8A&#10;AABkcnMvZG93bnJldi54bWxMj8FOwzAQRO9I/IO1SFxQ6yQQRNM4VYTECQmpKR/gxG4cEa9DvG0D&#10;X89ygtNqNE+zM+Vu8aM42zkOARWk6wSExS6YAXsF74eX1ROISBqNHgNaBV82wq66vip1YcIF9/bc&#10;UC84BGOhFTiiqZAyds56HddhssjeMcxeE8u5l2bWFw73o8yS5FF6PSB/cHqyz852H83JK5gOexrz&#10;unlL6LVtOrpbvj9rp9TtzVJvQZBd6A+G3/pcHSru1IYTmihGBav0IWeUjQ1fBjb3OY9rFWRpBrIq&#10;5f8F1Q8AAAD//wMAUEsBAi0AFAAGAAgAAAAhALaDOJL+AAAA4QEAABMAAAAAAAAAAAAAAAAAAAAA&#10;AFtDb250ZW50X1R5cGVzXS54bWxQSwECLQAUAAYACAAAACEAOP0h/9YAAACUAQAACwAAAAAAAAAA&#10;AAAAAAAvAQAAX3JlbHMvLnJlbHNQSwECLQAUAAYACAAAACEAn8b9pzcCAAA4BAAADgAAAAAAAAAA&#10;AAAAAAAuAgAAZHJzL2Uyb0RvYy54bWxQSwECLQAUAAYACAAAACEAs0/x5d8AAAAJAQAADwAAAAAA&#10;AAAAAAAAAACRBAAAZHJzL2Rvd25yZXYueG1sUEsFBgAAAAAEAAQA8wAAAJ0FAAAAAA==&#10;" strokecolor="#7030a0" strokeweight="2.25pt"/>
        </w:pict>
      </w:r>
      <w:r w:rsidR="00A037D0" w:rsidRPr="00B326F2">
        <w:rPr>
          <w:rFonts w:ascii="宋体" w:eastAsia="宋体" w:hAnsi="宋体" w:cs="Times New Roman" w:hint="eastAsia"/>
          <w:b/>
          <w:color w:val="000000" w:themeColor="text1"/>
          <w:kern w:val="0"/>
          <w:sz w:val="52"/>
          <w:szCs w:val="52"/>
        </w:rPr>
        <w:t xml:space="preserve"> </w:t>
      </w:r>
      <w:bookmarkEnd w:id="8"/>
      <w:r w:rsidR="00A037D0" w:rsidRPr="00B326F2">
        <w:rPr>
          <w:rFonts w:ascii="宋体" w:eastAsia="宋体" w:hAnsi="宋体" w:cs="Times New Roman" w:hint="eastAsia"/>
          <w:b/>
          <w:color w:val="000000" w:themeColor="text1"/>
          <w:kern w:val="0"/>
          <w:sz w:val="52"/>
          <w:szCs w:val="52"/>
        </w:rPr>
        <w:tab/>
      </w:r>
    </w:p>
    <w:p w:rsidR="00A037D0" w:rsidRPr="00B326F2" w:rsidRDefault="00A037D0" w:rsidP="00B326F2">
      <w:pPr>
        <w:ind w:leftChars="-67" w:left="54" w:hangingChars="27" w:hanging="195"/>
        <w:jc w:val="center"/>
        <w:rPr>
          <w:rFonts w:ascii="宋体" w:eastAsia="宋体" w:hAnsi="宋体" w:cs="方正大黑简体"/>
          <w:b/>
          <w:bCs/>
          <w:color w:val="552579"/>
          <w:sz w:val="72"/>
          <w:szCs w:val="72"/>
        </w:rPr>
      </w:pPr>
      <w:bookmarkStart w:id="10" w:name="OLE_LINK2"/>
      <w:r w:rsidRPr="00B326F2">
        <w:rPr>
          <w:rFonts w:ascii="宋体" w:eastAsia="宋体" w:hAnsi="宋体" w:cs="方正大黑简体" w:hint="eastAsia"/>
          <w:b/>
          <w:bCs/>
          <w:color w:val="552579"/>
          <w:sz w:val="72"/>
          <w:szCs w:val="72"/>
        </w:rPr>
        <w:t>报名申请表</w:t>
      </w:r>
      <w:bookmarkEnd w:id="9"/>
      <w:bookmarkEnd w:id="10"/>
    </w:p>
    <w:p w:rsidR="009B1B6B" w:rsidRPr="00B326F2" w:rsidRDefault="009B1B6B" w:rsidP="009B1B6B">
      <w:pPr>
        <w:widowControl/>
        <w:tabs>
          <w:tab w:val="center" w:pos="4153"/>
          <w:tab w:val="right" w:pos="8306"/>
        </w:tabs>
        <w:snapToGrid w:val="0"/>
        <w:ind w:firstLineChars="700" w:firstLine="1476"/>
        <w:rPr>
          <w:rFonts w:ascii="宋体" w:eastAsia="宋体" w:hAnsi="宋体" w:cs="中山行书百年纪念版"/>
          <w:b/>
          <w:color w:val="C00000"/>
          <w:kern w:val="0"/>
          <w:szCs w:val="21"/>
        </w:rPr>
      </w:pPr>
    </w:p>
    <w:tbl>
      <w:tblPr>
        <w:tblW w:w="9250" w:type="dxa"/>
        <w:tblInd w:w="135" w:type="dxa"/>
        <w:tblLayout w:type="fixed"/>
        <w:tblLook w:val="0000"/>
      </w:tblPr>
      <w:tblGrid>
        <w:gridCol w:w="1519"/>
        <w:gridCol w:w="1596"/>
        <w:gridCol w:w="856"/>
        <w:gridCol w:w="1144"/>
        <w:gridCol w:w="1429"/>
        <w:gridCol w:w="2706"/>
      </w:tblGrid>
      <w:tr w:rsidR="009B1B6B" w:rsidRPr="00B326F2" w:rsidTr="00CA7720">
        <w:trPr>
          <w:trHeight w:val="440"/>
        </w:trPr>
        <w:tc>
          <w:tcPr>
            <w:tcW w:w="9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kern w:val="0"/>
                <w:sz w:val="24"/>
              </w:rPr>
              <w:t>个人资料填写</w:t>
            </w: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籍   贯</w:t>
            </w: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民   族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77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 xml:space="preserve">职 </w:t>
            </w:r>
            <w:r w:rsidRPr="00B326F2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 xml:space="preserve"> </w:t>
            </w: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 xml:space="preserve"> 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传    真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指定联系人</w:t>
            </w: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A7720">
        <w:trPr>
          <w:trHeight w:val="44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77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40595">
        <w:trPr>
          <w:trHeight w:val="119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77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  <w:tr w:rsidR="009B1B6B" w:rsidRPr="00B326F2" w:rsidTr="00C40595">
        <w:trPr>
          <w:trHeight w:val="1269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9B1B6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  <w:r w:rsidRPr="00B326F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学习关注</w:t>
            </w:r>
          </w:p>
        </w:tc>
        <w:tc>
          <w:tcPr>
            <w:tcW w:w="77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B6B" w:rsidRPr="00B326F2" w:rsidRDefault="009B1B6B" w:rsidP="00C40595">
            <w:pPr>
              <w:widowControl/>
              <w:spacing w:line="480" w:lineRule="auto"/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</w:pPr>
          </w:p>
        </w:tc>
      </w:tr>
    </w:tbl>
    <w:p w:rsidR="009B1B6B" w:rsidRPr="00B326F2" w:rsidRDefault="009B1B6B" w:rsidP="009B1B6B">
      <w:pPr>
        <w:tabs>
          <w:tab w:val="left" w:pos="7230"/>
        </w:tabs>
        <w:spacing w:line="360" w:lineRule="auto"/>
        <w:rPr>
          <w:rFonts w:ascii="宋体" w:eastAsia="宋体" w:hAnsi="宋体" w:cs="宋体"/>
          <w:b/>
          <w:sz w:val="24"/>
        </w:rPr>
      </w:pPr>
    </w:p>
    <w:sectPr w:rsidR="009B1B6B" w:rsidRPr="00B326F2" w:rsidSect="00F55E6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134" w:right="1133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F4" w:rsidRDefault="00EA62F4">
      <w:r>
        <w:separator/>
      </w:r>
    </w:p>
  </w:endnote>
  <w:endnote w:type="continuationSeparator" w:id="0">
    <w:p w:rsidR="00EA62F4" w:rsidRDefault="00EA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大黑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中山行书百年纪念版">
    <w:altName w:val="宋体"/>
    <w:charset w:val="86"/>
    <w:family w:val="auto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C5" w:rsidRDefault="000717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C5" w:rsidRDefault="000717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C5" w:rsidRDefault="000717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F4" w:rsidRDefault="00EA62F4">
      <w:r>
        <w:separator/>
      </w:r>
    </w:p>
  </w:footnote>
  <w:footnote w:type="continuationSeparator" w:id="0">
    <w:p w:rsidR="00EA62F4" w:rsidRDefault="00EA6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C5" w:rsidRDefault="000717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C5" w:rsidRDefault="000717C5" w:rsidP="000717C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C5" w:rsidRDefault="000717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280896"/>
    <w:rsid w:val="00001C7E"/>
    <w:rsid w:val="000065CB"/>
    <w:rsid w:val="00012767"/>
    <w:rsid w:val="00015F75"/>
    <w:rsid w:val="00027FCC"/>
    <w:rsid w:val="00042762"/>
    <w:rsid w:val="00057C03"/>
    <w:rsid w:val="00060460"/>
    <w:rsid w:val="00065F69"/>
    <w:rsid w:val="000717C5"/>
    <w:rsid w:val="000772E8"/>
    <w:rsid w:val="000A10F2"/>
    <w:rsid w:val="000A7FBA"/>
    <w:rsid w:val="000C1BD8"/>
    <w:rsid w:val="000E47D6"/>
    <w:rsid w:val="0010197C"/>
    <w:rsid w:val="001175B7"/>
    <w:rsid w:val="00124841"/>
    <w:rsid w:val="00145AC5"/>
    <w:rsid w:val="00151DA3"/>
    <w:rsid w:val="00161A33"/>
    <w:rsid w:val="001B6B0C"/>
    <w:rsid w:val="001C0BC7"/>
    <w:rsid w:val="001E01AC"/>
    <w:rsid w:val="001E310B"/>
    <w:rsid w:val="001F43CF"/>
    <w:rsid w:val="001F4F2D"/>
    <w:rsid w:val="00202C9A"/>
    <w:rsid w:val="002056BC"/>
    <w:rsid w:val="00225B8D"/>
    <w:rsid w:val="00241340"/>
    <w:rsid w:val="002414D1"/>
    <w:rsid w:val="00247EDE"/>
    <w:rsid w:val="00261D86"/>
    <w:rsid w:val="00263C56"/>
    <w:rsid w:val="00266EC4"/>
    <w:rsid w:val="00274946"/>
    <w:rsid w:val="00291C41"/>
    <w:rsid w:val="002A180D"/>
    <w:rsid w:val="002A77A2"/>
    <w:rsid w:val="002B7E9D"/>
    <w:rsid w:val="002C4AB9"/>
    <w:rsid w:val="002C7605"/>
    <w:rsid w:val="002E3372"/>
    <w:rsid w:val="002E557E"/>
    <w:rsid w:val="002F731B"/>
    <w:rsid w:val="00306BBD"/>
    <w:rsid w:val="003214FA"/>
    <w:rsid w:val="00327BBC"/>
    <w:rsid w:val="00332349"/>
    <w:rsid w:val="003367F0"/>
    <w:rsid w:val="00354251"/>
    <w:rsid w:val="00370516"/>
    <w:rsid w:val="00370EE8"/>
    <w:rsid w:val="00393184"/>
    <w:rsid w:val="003A4355"/>
    <w:rsid w:val="003D311D"/>
    <w:rsid w:val="003E0204"/>
    <w:rsid w:val="003E07C3"/>
    <w:rsid w:val="003E3540"/>
    <w:rsid w:val="003F0FBA"/>
    <w:rsid w:val="003F6105"/>
    <w:rsid w:val="003F6679"/>
    <w:rsid w:val="00403B04"/>
    <w:rsid w:val="00404B9F"/>
    <w:rsid w:val="004138D8"/>
    <w:rsid w:val="00427563"/>
    <w:rsid w:val="004420BF"/>
    <w:rsid w:val="004545B5"/>
    <w:rsid w:val="00457FB8"/>
    <w:rsid w:val="00474767"/>
    <w:rsid w:val="00477EB8"/>
    <w:rsid w:val="00490ECA"/>
    <w:rsid w:val="00497ED1"/>
    <w:rsid w:val="004A55BA"/>
    <w:rsid w:val="004B1681"/>
    <w:rsid w:val="004D037A"/>
    <w:rsid w:val="00521E75"/>
    <w:rsid w:val="0052648E"/>
    <w:rsid w:val="005357BC"/>
    <w:rsid w:val="00566CA3"/>
    <w:rsid w:val="005871FF"/>
    <w:rsid w:val="005A553D"/>
    <w:rsid w:val="005B0FC0"/>
    <w:rsid w:val="005C0B9E"/>
    <w:rsid w:val="005C1275"/>
    <w:rsid w:val="005C142B"/>
    <w:rsid w:val="005F6B55"/>
    <w:rsid w:val="0064288D"/>
    <w:rsid w:val="0066018F"/>
    <w:rsid w:val="0066212A"/>
    <w:rsid w:val="0066308D"/>
    <w:rsid w:val="00664845"/>
    <w:rsid w:val="00680F71"/>
    <w:rsid w:val="0068141D"/>
    <w:rsid w:val="00681C44"/>
    <w:rsid w:val="006A5D53"/>
    <w:rsid w:val="006E0114"/>
    <w:rsid w:val="00726853"/>
    <w:rsid w:val="00732B8C"/>
    <w:rsid w:val="00735611"/>
    <w:rsid w:val="00743CCA"/>
    <w:rsid w:val="007452BE"/>
    <w:rsid w:val="007516AA"/>
    <w:rsid w:val="007617B3"/>
    <w:rsid w:val="007726A8"/>
    <w:rsid w:val="0077721F"/>
    <w:rsid w:val="00787EA6"/>
    <w:rsid w:val="007A223A"/>
    <w:rsid w:val="007B0D61"/>
    <w:rsid w:val="007D3658"/>
    <w:rsid w:val="007D50A5"/>
    <w:rsid w:val="007E110E"/>
    <w:rsid w:val="007F5766"/>
    <w:rsid w:val="00804B93"/>
    <w:rsid w:val="00813221"/>
    <w:rsid w:val="00814B90"/>
    <w:rsid w:val="00816AD8"/>
    <w:rsid w:val="008268F9"/>
    <w:rsid w:val="008441AD"/>
    <w:rsid w:val="008717AB"/>
    <w:rsid w:val="00876514"/>
    <w:rsid w:val="00884D47"/>
    <w:rsid w:val="00885B19"/>
    <w:rsid w:val="008919BB"/>
    <w:rsid w:val="00892D81"/>
    <w:rsid w:val="00896499"/>
    <w:rsid w:val="008A0446"/>
    <w:rsid w:val="008A57BE"/>
    <w:rsid w:val="008C2704"/>
    <w:rsid w:val="008C4D96"/>
    <w:rsid w:val="008E18F7"/>
    <w:rsid w:val="008E725C"/>
    <w:rsid w:val="009000F4"/>
    <w:rsid w:val="00915F2F"/>
    <w:rsid w:val="0092058D"/>
    <w:rsid w:val="00947429"/>
    <w:rsid w:val="009524BC"/>
    <w:rsid w:val="0095748C"/>
    <w:rsid w:val="009669FA"/>
    <w:rsid w:val="00980C4A"/>
    <w:rsid w:val="00983DA8"/>
    <w:rsid w:val="009B1B6B"/>
    <w:rsid w:val="009C6E10"/>
    <w:rsid w:val="009D297C"/>
    <w:rsid w:val="009E72B5"/>
    <w:rsid w:val="009F1AB3"/>
    <w:rsid w:val="00A037D0"/>
    <w:rsid w:val="00A11618"/>
    <w:rsid w:val="00A15A1E"/>
    <w:rsid w:val="00A47244"/>
    <w:rsid w:val="00A47A98"/>
    <w:rsid w:val="00A527C3"/>
    <w:rsid w:val="00A66858"/>
    <w:rsid w:val="00A82B06"/>
    <w:rsid w:val="00A938A9"/>
    <w:rsid w:val="00A93E1F"/>
    <w:rsid w:val="00AA0A87"/>
    <w:rsid w:val="00AD269D"/>
    <w:rsid w:val="00AD3DBB"/>
    <w:rsid w:val="00AE2289"/>
    <w:rsid w:val="00B1037E"/>
    <w:rsid w:val="00B302FD"/>
    <w:rsid w:val="00B326F2"/>
    <w:rsid w:val="00B44DB9"/>
    <w:rsid w:val="00B51224"/>
    <w:rsid w:val="00B76E44"/>
    <w:rsid w:val="00B859E4"/>
    <w:rsid w:val="00B85BFC"/>
    <w:rsid w:val="00B93D0B"/>
    <w:rsid w:val="00BD489A"/>
    <w:rsid w:val="00BD4B8D"/>
    <w:rsid w:val="00BF60FE"/>
    <w:rsid w:val="00C07A03"/>
    <w:rsid w:val="00C164B0"/>
    <w:rsid w:val="00C35E4C"/>
    <w:rsid w:val="00C40595"/>
    <w:rsid w:val="00C564FC"/>
    <w:rsid w:val="00CA2857"/>
    <w:rsid w:val="00CA7720"/>
    <w:rsid w:val="00CB55F1"/>
    <w:rsid w:val="00D04F94"/>
    <w:rsid w:val="00D10BA1"/>
    <w:rsid w:val="00D217F5"/>
    <w:rsid w:val="00D416BD"/>
    <w:rsid w:val="00D520A4"/>
    <w:rsid w:val="00D52C33"/>
    <w:rsid w:val="00D56B00"/>
    <w:rsid w:val="00D622F4"/>
    <w:rsid w:val="00D7099F"/>
    <w:rsid w:val="00D73B83"/>
    <w:rsid w:val="00D74F2D"/>
    <w:rsid w:val="00D90220"/>
    <w:rsid w:val="00DC6C34"/>
    <w:rsid w:val="00DD745D"/>
    <w:rsid w:val="00DF1E71"/>
    <w:rsid w:val="00E24A7A"/>
    <w:rsid w:val="00E3763C"/>
    <w:rsid w:val="00E61ABF"/>
    <w:rsid w:val="00E61C6A"/>
    <w:rsid w:val="00E66119"/>
    <w:rsid w:val="00E835FC"/>
    <w:rsid w:val="00E84CAC"/>
    <w:rsid w:val="00EA4E14"/>
    <w:rsid w:val="00EA62F4"/>
    <w:rsid w:val="00EA6E4D"/>
    <w:rsid w:val="00EA7948"/>
    <w:rsid w:val="00ED1E39"/>
    <w:rsid w:val="00ED3EC5"/>
    <w:rsid w:val="00F07DB3"/>
    <w:rsid w:val="00F13507"/>
    <w:rsid w:val="00F152C3"/>
    <w:rsid w:val="00F15913"/>
    <w:rsid w:val="00F31750"/>
    <w:rsid w:val="00F37C2F"/>
    <w:rsid w:val="00F55E66"/>
    <w:rsid w:val="00F67775"/>
    <w:rsid w:val="00F715FB"/>
    <w:rsid w:val="00F7627D"/>
    <w:rsid w:val="00F902C1"/>
    <w:rsid w:val="00F90820"/>
    <w:rsid w:val="00F909DA"/>
    <w:rsid w:val="00F9732F"/>
    <w:rsid w:val="00FA492C"/>
    <w:rsid w:val="00FD1442"/>
    <w:rsid w:val="00FD2226"/>
    <w:rsid w:val="00FF6EA6"/>
    <w:rsid w:val="01020886"/>
    <w:rsid w:val="021777DF"/>
    <w:rsid w:val="02C25DD5"/>
    <w:rsid w:val="02D83974"/>
    <w:rsid w:val="033466E5"/>
    <w:rsid w:val="035E322F"/>
    <w:rsid w:val="047E43BF"/>
    <w:rsid w:val="075B59AD"/>
    <w:rsid w:val="0765193B"/>
    <w:rsid w:val="08F36480"/>
    <w:rsid w:val="093A06A7"/>
    <w:rsid w:val="09E94439"/>
    <w:rsid w:val="09F633A3"/>
    <w:rsid w:val="0B5B63E5"/>
    <w:rsid w:val="0D573DCB"/>
    <w:rsid w:val="0DD2032F"/>
    <w:rsid w:val="10222008"/>
    <w:rsid w:val="10275198"/>
    <w:rsid w:val="10490BCF"/>
    <w:rsid w:val="10523CCB"/>
    <w:rsid w:val="116E4880"/>
    <w:rsid w:val="11B265BB"/>
    <w:rsid w:val="11F91F9B"/>
    <w:rsid w:val="12722E90"/>
    <w:rsid w:val="12855965"/>
    <w:rsid w:val="12E47CEC"/>
    <w:rsid w:val="138B5FB5"/>
    <w:rsid w:val="147E0768"/>
    <w:rsid w:val="160B41A4"/>
    <w:rsid w:val="16D54010"/>
    <w:rsid w:val="16FD6873"/>
    <w:rsid w:val="1802612F"/>
    <w:rsid w:val="19D135A9"/>
    <w:rsid w:val="1A5707D6"/>
    <w:rsid w:val="1AD152BC"/>
    <w:rsid w:val="1C280896"/>
    <w:rsid w:val="1CC37563"/>
    <w:rsid w:val="1CD87387"/>
    <w:rsid w:val="1DA50F3B"/>
    <w:rsid w:val="1EBB775F"/>
    <w:rsid w:val="20414298"/>
    <w:rsid w:val="216C3B78"/>
    <w:rsid w:val="22176E3F"/>
    <w:rsid w:val="222861E1"/>
    <w:rsid w:val="23F74668"/>
    <w:rsid w:val="25620F6F"/>
    <w:rsid w:val="27321FCF"/>
    <w:rsid w:val="27A43859"/>
    <w:rsid w:val="2A940673"/>
    <w:rsid w:val="2A9A2C3C"/>
    <w:rsid w:val="2B405B52"/>
    <w:rsid w:val="2BB50D87"/>
    <w:rsid w:val="2BCB3DCF"/>
    <w:rsid w:val="2BEF79AA"/>
    <w:rsid w:val="2C3A0570"/>
    <w:rsid w:val="2CF94EEA"/>
    <w:rsid w:val="2D8E5EFF"/>
    <w:rsid w:val="2E251648"/>
    <w:rsid w:val="2F263FE6"/>
    <w:rsid w:val="2F7A1022"/>
    <w:rsid w:val="30F962FD"/>
    <w:rsid w:val="31A028D2"/>
    <w:rsid w:val="32001F22"/>
    <w:rsid w:val="321B1A82"/>
    <w:rsid w:val="331E57F9"/>
    <w:rsid w:val="34815288"/>
    <w:rsid w:val="353158BE"/>
    <w:rsid w:val="3751225B"/>
    <w:rsid w:val="397C54E6"/>
    <w:rsid w:val="3A7D7DB0"/>
    <w:rsid w:val="3A99598E"/>
    <w:rsid w:val="3D327430"/>
    <w:rsid w:val="3D984B1D"/>
    <w:rsid w:val="3F17607E"/>
    <w:rsid w:val="3F2D25B6"/>
    <w:rsid w:val="433F10C9"/>
    <w:rsid w:val="456804AB"/>
    <w:rsid w:val="45B727C6"/>
    <w:rsid w:val="46204764"/>
    <w:rsid w:val="466101E1"/>
    <w:rsid w:val="46B261D0"/>
    <w:rsid w:val="47132125"/>
    <w:rsid w:val="4841575E"/>
    <w:rsid w:val="48A076E0"/>
    <w:rsid w:val="49974045"/>
    <w:rsid w:val="49AB439F"/>
    <w:rsid w:val="4A2E77DB"/>
    <w:rsid w:val="4A397464"/>
    <w:rsid w:val="4AC51651"/>
    <w:rsid w:val="4BA73A4E"/>
    <w:rsid w:val="4BDD652B"/>
    <w:rsid w:val="4C0448DC"/>
    <w:rsid w:val="4C671EB1"/>
    <w:rsid w:val="4D525FF1"/>
    <w:rsid w:val="4E376776"/>
    <w:rsid w:val="50B13D0C"/>
    <w:rsid w:val="50E369D9"/>
    <w:rsid w:val="5232612B"/>
    <w:rsid w:val="52416A02"/>
    <w:rsid w:val="54BA0AFB"/>
    <w:rsid w:val="553107F9"/>
    <w:rsid w:val="55775991"/>
    <w:rsid w:val="57C809D8"/>
    <w:rsid w:val="57E73F93"/>
    <w:rsid w:val="5DB03D0A"/>
    <w:rsid w:val="5E9B23FC"/>
    <w:rsid w:val="6078765A"/>
    <w:rsid w:val="626E32BE"/>
    <w:rsid w:val="62E96AB5"/>
    <w:rsid w:val="64761F5B"/>
    <w:rsid w:val="64806F9D"/>
    <w:rsid w:val="6781091A"/>
    <w:rsid w:val="68065F18"/>
    <w:rsid w:val="6ADD639B"/>
    <w:rsid w:val="6AF14CD7"/>
    <w:rsid w:val="6B0832C3"/>
    <w:rsid w:val="6B2A11B8"/>
    <w:rsid w:val="6B2F2227"/>
    <w:rsid w:val="6B8165E3"/>
    <w:rsid w:val="6BE91305"/>
    <w:rsid w:val="6BF63109"/>
    <w:rsid w:val="6C592260"/>
    <w:rsid w:val="6E1D7054"/>
    <w:rsid w:val="6FC653B2"/>
    <w:rsid w:val="6FDD1E69"/>
    <w:rsid w:val="70256643"/>
    <w:rsid w:val="70532D6E"/>
    <w:rsid w:val="722F27A2"/>
    <w:rsid w:val="72D46DBB"/>
    <w:rsid w:val="74585CFB"/>
    <w:rsid w:val="761D01EB"/>
    <w:rsid w:val="766A22F9"/>
    <w:rsid w:val="776815F2"/>
    <w:rsid w:val="7A5A0D6A"/>
    <w:rsid w:val="7C371A55"/>
    <w:rsid w:val="7D82397B"/>
    <w:rsid w:val="7FDA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61D86"/>
    <w:rPr>
      <w:sz w:val="18"/>
      <w:szCs w:val="18"/>
    </w:rPr>
  </w:style>
  <w:style w:type="paragraph" w:styleId="a4">
    <w:name w:val="footer"/>
    <w:basedOn w:val="a"/>
    <w:qFormat/>
    <w:rsid w:val="00261D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261D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261D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brush">
    <w:name w:val="135brush"/>
    <w:basedOn w:val="a0"/>
    <w:qFormat/>
    <w:rsid w:val="00261D86"/>
  </w:style>
  <w:style w:type="character" w:customStyle="1" w:styleId="Char">
    <w:name w:val="批注框文本 Char"/>
    <w:basedOn w:val="a0"/>
    <w:link w:val="a3"/>
    <w:qFormat/>
    <w:rsid w:val="00261D86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4138D8"/>
    <w:rPr>
      <w:color w:val="808080"/>
    </w:rPr>
  </w:style>
  <w:style w:type="character" w:customStyle="1" w:styleId="Char0">
    <w:name w:val="页眉 Char"/>
    <w:link w:val="a5"/>
    <w:rsid w:val="00A037D0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brush">
    <w:name w:val="135brush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4138D8"/>
    <w:rPr>
      <w:color w:val="808080"/>
    </w:rPr>
  </w:style>
  <w:style w:type="character" w:customStyle="1" w:styleId="Char0">
    <w:name w:val="页眉 Char"/>
    <w:link w:val="a5"/>
    <w:rsid w:val="00A037D0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0">
          <a:solidFill>
            <a:srgbClr val="C00000"/>
          </a:solidFill>
          <a:round/>
          <a:headEnd/>
          <a:tailEnd/>
        </a:ln>
        <a:extLst>
          <a:ext uri="{909E8E84-426E-40DD-AFC4-6F175D3DCCD1}">
            <a14:hiddenFill xmlns=""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55677-4A32-4C83-916D-30D3C56B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412</Words>
  <Characters>2349</Characters>
  <Application>Microsoft Office Word</Application>
  <DocSecurity>0</DocSecurity>
  <Lines>19</Lines>
  <Paragraphs>5</Paragraphs>
  <ScaleCrop>false</ScaleCrop>
  <Company>CHINA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629</cp:revision>
  <dcterms:created xsi:type="dcterms:W3CDTF">2017-04-12T12:01:00Z</dcterms:created>
  <dcterms:modified xsi:type="dcterms:W3CDTF">2017-10-13T02:07:00Z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