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b/>
        </w:rPr>
      </w:pPr>
      <w:bookmarkStart w:id="0" w:name="_Hlk507265297"/>
      <w:bookmarkEnd w:id="0"/>
    </w:p>
    <w:p>
      <w:pPr>
        <w:jc w:val="center"/>
        <w:rPr>
          <w:b/>
        </w:rPr>
      </w:pP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2632075" cy="433705"/>
            <wp:effectExtent l="0" t="0" r="9525" b="10795"/>
            <wp:docPr id="9" name="图片 9" descr="PNG左右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NG左右组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b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101600</wp:posOffset>
            </wp:positionV>
            <wp:extent cx="1573530" cy="367030"/>
            <wp:effectExtent l="0" t="0" r="1270" b="1270"/>
            <wp:wrapThrough wrapText="bothSides">
              <wp:wrapPolygon>
                <wp:start x="0" y="0"/>
                <wp:lineTo x="0" y="20927"/>
                <wp:lineTo x="21443" y="20927"/>
                <wp:lineTo x="21443" y="0"/>
                <wp:lineTo x="0" y="0"/>
              </wp:wrapPolygon>
            </wp:wrapThrough>
            <wp:docPr id="4" name="图片 4" descr="微信图片_2018022517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0225173820"/>
                    <pic:cNvPicPr>
                      <a:picLocks noChangeAspect="1"/>
                    </pic:cNvPicPr>
                  </pic:nvPicPr>
                  <pic:blipFill>
                    <a:blip r:embed="rId7"/>
                    <a:srcRect l="34066" b="46756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 w:val="0"/>
          <w:sz w:val="40"/>
          <w:szCs w:val="40"/>
          <w:lang w:val="en-US" w:eastAsia="zh-CN"/>
        </w:rPr>
        <w:t xml:space="preserve">                研究生课程进修项目</w:t>
      </w:r>
      <w:r>
        <w:rPr>
          <w:rFonts w:hint="eastAsia" w:ascii="微软雅黑" w:hAnsi="微软雅黑" w:eastAsia="微软雅黑" w:cs="微软雅黑"/>
          <w:b/>
          <w:bCs w:val="0"/>
          <w:sz w:val="40"/>
          <w:szCs w:val="40"/>
        </w:rPr>
        <w:t xml:space="preserve">  </w:t>
      </w:r>
      <w:r>
        <w:rPr>
          <w:b/>
        </w:rPr>
        <w:t xml:space="preserve">                              </w:t>
      </w:r>
    </w:p>
    <w:p>
      <w:pPr>
        <w:jc w:val="center"/>
        <w:rPr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 xml:space="preserve">                                                </w:t>
      </w:r>
      <w:r>
        <w:rPr>
          <w:rFonts w:hint="eastAsia"/>
          <w:b/>
          <w:bCs/>
        </w:rPr>
        <w:t>针对</w:t>
      </w:r>
      <w:r>
        <w:rPr>
          <w:rFonts w:hint="eastAsia"/>
          <w:b/>
          <w:bCs/>
          <w:lang w:val="en-US" w:eastAsia="zh-CN"/>
        </w:rPr>
        <w:t>企业领导者</w:t>
      </w:r>
      <w:r>
        <w:rPr>
          <w:rFonts w:hint="eastAsia"/>
          <w:b/>
          <w:bCs/>
        </w:rPr>
        <w:t>的</w:t>
      </w:r>
      <w:r>
        <w:rPr>
          <w:rFonts w:hint="eastAsia"/>
          <w:b/>
          <w:bCs/>
          <w:lang w:val="en-US" w:eastAsia="zh-CN"/>
        </w:rPr>
        <w:t xml:space="preserve">金融深度课程       </w:t>
      </w:r>
    </w:p>
    <w:p>
      <w:pPr>
        <w:rPr>
          <w:rFonts w:hint="eastAsia" w:ascii="微软雅黑" w:hAnsi="微软雅黑" w:eastAsia="微软雅黑" w:cs="Times New Roman"/>
          <w:b/>
          <w:color w:val="CC9900"/>
          <w:sz w:val="28"/>
        </w:rPr>
      </w:pPr>
    </w:p>
    <w:p>
      <w:pPr>
        <w:rPr>
          <w:rFonts w:hint="eastAsia" w:ascii="微软雅黑" w:hAnsi="微软雅黑" w:eastAsia="微软雅黑" w:cs="Times New Roman"/>
          <w:b/>
          <w:color w:val="CC9900"/>
          <w:sz w:val="28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</w:rPr>
        <w:t>【</w:t>
      </w:r>
      <w: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  <w:t>金融EMBA</w:t>
      </w:r>
      <w:r>
        <w:rPr>
          <w:rFonts w:hint="eastAsia" w:ascii="微软雅黑" w:hAnsi="微软雅黑" w:eastAsia="微软雅黑" w:cs="Times New Roman"/>
          <w:b/>
          <w:color w:val="CC9900"/>
          <w:sz w:val="28"/>
        </w:rPr>
        <w:t>】</w:t>
      </w:r>
    </w:p>
    <w:p>
      <w:pP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  <w:t>深度学习金融 学习有深度的金融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北京大学金融类核心课程成立至今已经历了数万名企业家学习验证，数百名专家、学者、教授、精英千锤百炼、深度打造，已经形成企业家教育体系的特殊价值。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北清智库商学院[金融EMBA]由北大著名经济学家研发建立逻辑体系架构，以解决中国民营企业产融转型升级痛点为核心价值，历时十年，通过调研走访，科学测评，千余课堂实践，由政策制定者、经济学家、金融学者、投资银行专家、全球商业领袖等多视角开创打造针对企业领导者的金融深度课程。内容覆盖资本市场的主要领域和各类工具、路径以及国内外金融前沿趋势。导师多年金融领域的研究和实战经验研发13大深度金融模块，并以独创的9大深度学习形式倾囊相授，深入引领企业领导者全面掌握资本市场运作的方法经验和思想精髓、升华宏观资本战略思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[金融EMBA]致力于“</w:t>
      </w:r>
      <w:r>
        <w:rPr>
          <w:rFonts w:hint="eastAsia" w:ascii="宋体" w:hAnsi="宋体" w:eastAsia="宋体" w:cs="宋体"/>
          <w:b/>
          <w:color w:val="CC9900"/>
          <w:sz w:val="24"/>
          <w:szCs w:val="24"/>
          <w:lang w:val="en-US" w:eastAsia="zh-CN"/>
        </w:rPr>
        <w:t>深度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学习金融 学习有</w:t>
      </w:r>
      <w:r>
        <w:rPr>
          <w:rFonts w:hint="eastAsia" w:ascii="宋体" w:hAnsi="宋体" w:eastAsia="宋体" w:cs="宋体"/>
          <w:b/>
          <w:color w:val="CC9900"/>
          <w:sz w:val="24"/>
          <w:szCs w:val="24"/>
          <w:lang w:val="en-US" w:eastAsia="zh-CN"/>
        </w:rPr>
        <w:t>深度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金融”的研发理念，完全区别于普遍的讲座式授课，而将每位金融专家多年学术积淀与实战经验进行总结提炼，并逐一研发成逻辑体系的多形式教学，构建全方位金融深度学习生态系统。结构深度、内容深度、形式深度，多角度、多维度以“深度”打造永不停息的课堂，帮助企业家洞悉趋势、进化模式、突破思维，培养真正具备金融研究生系统性知识水平的杰出企业领导人，同时成为真正具备国际视野、卓越资本运营能力的优秀产融家。</w:t>
      </w:r>
    </w:p>
    <w:p>
      <w:pPr>
        <w:spacing w:line="360" w:lineRule="auto"/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Times New Roman"/>
          <w:b/>
          <w:color w:val="CC9900"/>
          <w:sz w:val="21"/>
          <w:szCs w:val="20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  <w:t>【核心价值】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1企业家转型产融家，企业资本运营转型升级壁垒全面击破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 谙熟监管框架与博弈之道，把握金融体系政策导向趋势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3毕业达到金融研究生系统知识水平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 全面洞察全球前沿创新性领域投资机会与趋势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 北清高端校友及金融大师教授团平台及人脉资源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 顶级智库及金融学者行业研究、案例解析知识服务,企业对标落地工具与全套方案详细指导</w:t>
      </w:r>
    </w:p>
    <w:p>
      <w:pPr>
        <w:rPr>
          <w:rFonts w:hint="eastAsia" w:ascii="微软雅黑" w:hAnsi="微软雅黑" w:eastAsia="微软雅黑" w:cs="Times New Roman"/>
          <w:b/>
          <w:color w:val="CC9900"/>
          <w:sz w:val="28"/>
        </w:rPr>
      </w:pPr>
    </w:p>
    <w:p>
      <w:pPr>
        <w:rPr>
          <w:rFonts w:hint="eastAsia" w:ascii="微软雅黑" w:hAnsi="微软雅黑" w:eastAsia="微软雅黑" w:cs="Times New Roman"/>
          <w:b/>
          <w:color w:val="CC9900"/>
          <w:sz w:val="28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</w:rPr>
        <w:t>【课程</w:t>
      </w:r>
      <w: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  <w:t>特色</w:t>
      </w:r>
      <w:r>
        <w:rPr>
          <w:rFonts w:hint="eastAsia" w:ascii="微软雅黑" w:hAnsi="微软雅黑" w:eastAsia="微软雅黑" w:cs="Times New Roman"/>
          <w:b/>
          <w:color w:val="CC9900"/>
          <w:sz w:val="28"/>
        </w:rPr>
        <w:t>】</w:t>
      </w:r>
    </w:p>
    <w:p>
      <w:pPr>
        <w:ind w:firstLine="720" w:firstLineChars="300"/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</w:pP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  <w:t>更金融</w:t>
      </w:r>
    </w:p>
    <w:p>
      <w:pPr>
        <w:ind w:firstLine="720" w:firstLineChars="3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13大独创模块构筑起有逻辑的金融体系、40个精选案例打造岀有深度的资本框架。每期班不超过60人，配备3名核心导师构筑一个纯粹以金融为内容的课堂。</w:t>
      </w: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  <w:t>更鲜活</w:t>
      </w:r>
    </w:p>
    <w:p>
      <w:pPr>
        <w:ind w:firstLine="720" w:firstLineChars="3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导师组的每位导师都毕业于北大,来自于业界一线。他们秉承"北大人"鲜活的观点,帮助企业家洞悉不同金融领域的前沿观点与未来趋势。</w:t>
      </w: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  <w:t>更立体</w:t>
      </w:r>
    </w:p>
    <w:p>
      <w:pPr>
        <w:ind w:firstLine="720" w:firstLineChars="3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覆盖资本市场的主要领域，涵盖金融市场的各类工具，从纷繁的资本运作中抽象出运作的基本套路，从微观的资本策略中升华出宏观的资本战略思维，带您领悟资本背后的逻辑与哲学。</w:t>
      </w:r>
    </w:p>
    <w:p>
      <w:pP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</w:p>
    <w:p>
      <w:pP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  <w:t>【课程亮点】</w:t>
      </w:r>
    </w:p>
    <w:p>
      <w:pPr>
        <w:rPr>
          <w:rFonts w:hint="eastAsia" w:ascii="楷体" w:hAnsi="楷体" w:eastAsia="楷体" w:cs="Times New Roman"/>
          <w:sz w:val="24"/>
          <w:szCs w:val="24"/>
          <w:lang w:val="en-US" w:eastAsia="zh-CN"/>
        </w:rPr>
      </w:pPr>
      <w:r>
        <w:rPr>
          <w:rFonts w:hint="eastAsia" w:ascii="楷体" w:hAnsi="楷体" w:eastAsia="楷体" w:cs="Times New Roman"/>
          <w:sz w:val="24"/>
          <w:szCs w:val="24"/>
          <w:lang w:val="en-US" w:eastAsia="zh-CN"/>
        </w:rPr>
        <w:t xml:space="preserve"> </w:t>
      </w: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  <w:t>从讲座式授课到问题导向型学习</w:t>
      </w:r>
    </w:p>
    <w:p>
      <w:pPr>
        <w:ind w:firstLine="723" w:firstLineChars="3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课堂：名师组合式授课</w:t>
      </w:r>
    </w:p>
    <w:p>
      <w:pPr>
        <w:ind w:firstLine="720" w:firstLineChars="3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每单个课程模块由主讲教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授邀约著名金融机构实战专家作为分讲导师，组建教授团。主讲教授拆解分讲课程主题中各部分，由相应细分领域深度专注实操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及研究分析的分讲导师结合个人从业实操案例，从课本的理论知识中研学具象实战细节及关键机制。主讲教授穿针引线，帮助学员从具体案例中精炼交易基本原则，总结运作基本套路。</w:t>
      </w: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课题：精品小组合作式研习＋教授讲评</w:t>
      </w:r>
    </w:p>
    <w:p>
      <w:pPr>
        <w:ind w:firstLine="720" w:firstLineChars="3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精品小组合作式研习贯穿始终,分阶段及课程形式不同,组织不同行业不同背景的同学成立不同学习小组,线上(社群辅导+每月两次小组专题案例直播课程)线下(课堂+二课堂+访学课程)紧密连结,通过群策群力,互相分享,解决企业转型痛点</w:t>
      </w: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  <w:t>从概述式案例分析到主题案例教学体系</w:t>
      </w:r>
    </w:p>
    <w:p>
      <w:pPr>
        <w:ind w:firstLine="723" w:firstLineChars="3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案例：经典案例实操人分解回顾＋专家剖析详解</w:t>
      </w:r>
    </w:p>
    <w:p>
      <w:pPr>
        <w:ind w:firstLine="720" w:firstLineChars="3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独家研发案例教学体系，经典案例实操人分解回顾内情细节，资深产融专家实践导师全程引领剖析战略核心，帮助同学对标建构创建成体系、可落地的执行方案。</w:t>
      </w: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ind w:firstLine="723" w:firstLineChars="3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名企访学：教授带队/高管领队</w:t>
      </w:r>
    </w:p>
    <w:p>
      <w:pPr>
        <w:ind w:firstLine="720" w:firstLineChars="3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名企访学，深度嵌入案例教学体系，独家专属名企合作伙伴案例库，高管圆桌会议深度解析资本与实业双向赋能。并专设实践导师带领分小组经典复盘，100%还原实战细节，把干货化为己用。</w:t>
      </w: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  <w:t>从传声筒式教学到师生共创型研习</w:t>
      </w: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导师制：自选辅导导师进行“诊断”式教学</w:t>
      </w:r>
    </w:p>
    <w:p>
      <w:pPr>
        <w:ind w:firstLine="720" w:firstLineChars="3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课程中段，由学员根据自身学习需求，选择个人责任导师。通过诊断式教学，聚焦学员企业自身问题，定制课程研究专题，引导思维方向，落地解决方案。</w:t>
      </w: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学术文献：金融实践硕士毕业论文辅导、印刷成册</w:t>
      </w:r>
    </w:p>
    <w:p>
      <w:pPr>
        <w:ind w:firstLine="720" w:firstLineChars="3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课程结课后，学员通过导师及其他相应细分模块老师指导帮助，分小组完成全课程体系课程作业，并汇集完成金融实践硕士相应研究专题毕业论文，集结成册，同时向相关权威刊物选送优秀作品全社会公开发行。</w:t>
      </w: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CC9900"/>
          <w:kern w:val="2"/>
          <w:sz w:val="28"/>
          <w:szCs w:val="28"/>
          <w:lang w:val="en-US" w:eastAsia="zh-CN" w:bidi="ar-SA"/>
        </w:rPr>
        <w:t>从名人论坛式课堂到多维度学习生态</w:t>
      </w: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二课堂:多视角下金融论点私董会</w:t>
      </w:r>
    </w:p>
    <w:p>
      <w:pPr>
        <w:ind w:firstLine="720" w:firstLineChars="3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第二课堂涵盖政策导向、PE/VC视角下的公司战略、金融热点等多维度专题，顶级金融学者、政策制定专家、顶级学府著名经济学家、教授及商业领袖面对面，以私董会等形式，着眼全球，认知获取优化企业资本运营模式的有效路径。</w:t>
      </w: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论坛：行业对标论坛/地域性论坛</w:t>
      </w:r>
    </w:p>
    <w:p>
      <w:pPr>
        <w:ind w:firstLine="720" w:firstLineChars="3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行业对标论坛，囊括商学院高端金融论坛资源，名师大咖云集，实现深度对接优秀投资人及商业伙伴；地域性论坛，助力学员企业主办地域性行业论坛，依托智库各领域顶级专家及政、商、学界资源人脉，打造具有行业影响力的产融创新生态圈。</w:t>
      </w:r>
    </w:p>
    <w:p>
      <w:pPr>
        <w:ind w:left="1920" w:leftChars="800" w:firstLine="0" w:firstLineChars="0"/>
        <w:rPr>
          <w:rFonts w:hint="eastAsia" w:ascii="楷体" w:hAnsi="楷体" w:eastAsia="楷体" w:cs="Times New Roman"/>
          <w:sz w:val="24"/>
          <w:szCs w:val="24"/>
          <w:lang w:val="en-US" w:eastAsia="zh-CN"/>
        </w:rPr>
      </w:pPr>
    </w:p>
    <w:p>
      <w:pPr>
        <w:ind w:firstLine="720" w:firstLineChars="300"/>
        <w:rPr>
          <w:rFonts w:hint="eastAsia" w:ascii="楷体" w:hAnsi="楷体" w:eastAsia="楷体" w:cs="Times New Roman"/>
          <w:sz w:val="24"/>
          <w:szCs w:val="24"/>
        </w:rPr>
      </w:pPr>
    </w:p>
    <w:p>
      <w:pPr>
        <w:ind w:firstLine="720" w:firstLineChars="300"/>
        <w:rPr>
          <w:rFonts w:hint="eastAsia" w:ascii="楷体" w:hAnsi="楷体" w:eastAsia="楷体" w:cs="Times New Roman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  <w:t>【课程体系】</w:t>
      </w:r>
    </w:p>
    <w:p>
      <w:pPr>
        <w:spacing w:line="360" w:lineRule="auto"/>
        <w:jc w:val="center"/>
        <w:rPr>
          <w:rFonts w:hint="eastAsia" w:ascii="Times New Roman" w:hAnsi="Times New Roman" w:eastAsia="楷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楷体" w:cs="Times New Roman"/>
          <w:sz w:val="21"/>
          <w:szCs w:val="21"/>
          <w:lang w:val="en-US" w:eastAsia="zh-CN"/>
        </w:rPr>
        <w:drawing>
          <wp:inline distT="0" distB="0" distL="114300" distR="114300">
            <wp:extent cx="5118735" cy="8603615"/>
            <wp:effectExtent l="0" t="0" r="12065" b="6985"/>
            <wp:docPr id="19" name="图片 19" descr="63862324767649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38623247676495070"/>
                    <pic:cNvPicPr>
                      <a:picLocks noChangeAspect="1"/>
                    </pic:cNvPicPr>
                  </pic:nvPicPr>
                  <pic:blipFill>
                    <a:blip r:embed="rId8"/>
                    <a:srcRect b="5457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  <w:t>【课程师资】</w:t>
      </w:r>
    </w:p>
    <w:p>
      <w:pPr>
        <w:spacing w:line="360" w:lineRule="auto"/>
        <w:ind w:firstLine="480" w:firstLineChars="200"/>
        <w:jc w:val="center"/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ind w:firstLine="480" w:firstLineChars="200"/>
        <w:jc w:val="center"/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6471285" cy="7285355"/>
            <wp:effectExtent l="0" t="0" r="5715" b="4445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9"/>
                    <a:srcRect l="2525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6640830" cy="8463915"/>
            <wp:effectExtent l="0" t="0" r="1270" b="698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</w:pPr>
      <w:bookmarkStart w:id="3" w:name="_GoBack"/>
      <w:bookmarkEnd w:id="3"/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51435</wp:posOffset>
            </wp:positionV>
            <wp:extent cx="6643370" cy="9015095"/>
            <wp:effectExtent l="0" t="0" r="11430" b="1905"/>
            <wp:wrapSquare wrapText="bothSides"/>
            <wp:docPr id="1" name="图片 1" descr="91884361422171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88436142217126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01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-SA"/>
        </w:rPr>
      </w:pPr>
    </w:p>
    <w:p>
      <w:pPr>
        <w:pStyle w:val="9"/>
        <w:numPr>
          <w:ilvl w:val="0"/>
          <w:numId w:val="0"/>
        </w:numPr>
        <w:jc w:val="both"/>
        <w:rPr>
          <w:rFonts w:hint="eastAsia" w:ascii="微软雅黑" w:hAnsi="微软雅黑" w:eastAsia="微软雅黑" w:cs="Times New Roman"/>
          <w:b/>
          <w:color w:val="CC9900"/>
          <w:sz w:val="28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</w:rPr>
        <w:t>【课程形式】</w:t>
      </w:r>
    </w:p>
    <w:p>
      <w:pPr>
        <w:pStyle w:val="9"/>
        <w:numPr>
          <w:ilvl w:val="0"/>
          <w:numId w:val="0"/>
        </w:numPr>
        <w:jc w:val="both"/>
        <w:rPr>
          <w:rFonts w:hint="eastAsia" w:ascii="微软雅黑" w:hAnsi="微软雅黑" w:eastAsia="微软雅黑" w:cs="Times New Roman"/>
          <w:b/>
          <w:color w:val="CC9900"/>
          <w:sz w:val="28"/>
        </w:rPr>
      </w:pPr>
    </w:p>
    <w:tbl>
      <w:tblPr>
        <w:tblStyle w:val="8"/>
        <w:tblW w:w="8424" w:type="dxa"/>
        <w:jc w:val="center"/>
        <w:tblInd w:w="-545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0"/>
        <w:gridCol w:w="2102"/>
        <w:gridCol w:w="2074"/>
        <w:gridCol w:w="2128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1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7C085"/>
          </w:tcPr>
          <w:p>
            <w:pPr>
              <w:jc w:val="center"/>
              <w:rPr>
                <w:rFonts w:ascii="微软雅黑" w:hAnsi="微软雅黑" w:eastAsia="微软雅黑" w:cs="Times New Roman"/>
                <w:b w:val="0"/>
                <w:bCs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 w:val="0"/>
              </w:rPr>
              <w:t>专业内容</w:t>
            </w:r>
          </w:p>
        </w:tc>
        <w:tc>
          <w:tcPr>
            <w:tcW w:w="210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7C085"/>
          </w:tcPr>
          <w:p>
            <w:pPr>
              <w:jc w:val="center"/>
              <w:rPr>
                <w:rFonts w:ascii="微软雅黑" w:hAnsi="微软雅黑" w:eastAsia="微软雅黑" w:cs="Times New Roman"/>
                <w:b w:val="0"/>
                <w:bCs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</w:rPr>
              <w:t>政策导向</w:t>
            </w:r>
          </w:p>
        </w:tc>
        <w:tc>
          <w:tcPr>
            <w:tcW w:w="207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7C085"/>
          </w:tcPr>
          <w:p>
            <w:pPr>
              <w:jc w:val="center"/>
              <w:rPr>
                <w:rFonts w:ascii="微软雅黑" w:hAnsi="微软雅黑" w:eastAsia="微软雅黑" w:cs="Times New Roman"/>
                <w:b w:val="0"/>
                <w:bCs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</w:rPr>
              <w:t>案例聚焦</w:t>
            </w:r>
          </w:p>
        </w:tc>
        <w:tc>
          <w:tcPr>
            <w:tcW w:w="212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7C085"/>
          </w:tcPr>
          <w:p>
            <w:pPr>
              <w:jc w:val="center"/>
              <w:rPr>
                <w:rFonts w:hint="eastAsia" w:ascii="微软雅黑" w:hAnsi="微软雅黑" w:eastAsia="微软雅黑" w:cs="Times New Roman"/>
                <w:b w:val="0"/>
                <w:bCs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lang w:val="en-US" w:eastAsia="zh-CN"/>
              </w:rPr>
              <w:t>名企访学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2" w:hRule="atLeast"/>
          <w:jc w:val="center"/>
        </w:trPr>
        <w:tc>
          <w:tcPr>
            <w:tcW w:w="2120" w:type="dxa"/>
            <w:tcBorders>
              <w:top w:val="single" w:color="FFFFFF" w:themeColor="background1" w:sz="4" w:space="0"/>
            </w:tcBorders>
            <w:shd w:val="clear" w:color="auto" w:fill="F1F1F1" w:themeFill="background1" w:themeFillShade="F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鞭辟入里，汇集北大十年金融硕士教育系统成就与创新力量，深度对接前沿学术高地，构筑系统金融体系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102" w:type="dxa"/>
            <w:tcBorders>
              <w:top w:val="single" w:color="FFFFFF" w:themeColor="background1" w:sz="4" w:space="0"/>
            </w:tcBorders>
            <w:shd w:val="clear" w:color="auto" w:fill="F1F1F1" w:themeFill="background1" w:themeFillShade="F2"/>
            <w:vAlign w:val="top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举重若轻，洞悉不同金融领域最新监管政策与趋势，突破思维瓶颈，谙熟监管框架与博弈之道。</w:t>
            </w:r>
          </w:p>
        </w:tc>
        <w:tc>
          <w:tcPr>
            <w:tcW w:w="2074" w:type="dxa"/>
            <w:tcBorders>
              <w:top w:val="single" w:color="FFFFFF" w:themeColor="background1" w:sz="4" w:space="0"/>
            </w:tcBorders>
            <w:shd w:val="clear" w:color="auto" w:fill="F1F1F1" w:themeFill="background1" w:themeFillShade="F2"/>
            <w:vAlign w:val="top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抽丝剥茧，精炼一线热点案例，知名企业高管现身说法，揭示资本运作基本原则套路，塑造宏观产融思维。</w:t>
            </w:r>
          </w:p>
        </w:tc>
        <w:tc>
          <w:tcPr>
            <w:tcW w:w="2128" w:type="dxa"/>
            <w:tcBorders>
              <w:top w:val="single" w:color="FFFFFF" w:themeColor="background1" w:sz="4" w:space="0"/>
            </w:tcBorders>
            <w:shd w:val="clear" w:color="auto" w:fill="F1F1F1" w:themeFill="background1" w:themeFillShade="F2"/>
            <w:vAlign w:val="top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身临其境，深入案例企业，真看，真听，真感受，以最鲜活的视角领悟资本运作核心哲学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</w:tc>
      </w:tr>
    </w:tbl>
    <w:p/>
    <w:p>
      <w:pPr>
        <w:pStyle w:val="9"/>
        <w:numPr>
          <w:ilvl w:val="0"/>
          <w:numId w:val="0"/>
        </w:numPr>
        <w:jc w:val="both"/>
        <w:rPr>
          <w:rFonts w:hint="eastAsia" w:ascii="微软雅黑" w:hAnsi="微软雅黑" w:eastAsia="微软雅黑" w:cs="Times New Roman"/>
          <w:b/>
          <w:color w:val="CC9900"/>
          <w:sz w:val="28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</w:rPr>
        <w:t>【</w:t>
      </w:r>
      <w: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  <w:t>学习逻辑</w:t>
      </w:r>
      <w:r>
        <w:rPr>
          <w:rFonts w:hint="eastAsia" w:ascii="微软雅黑" w:hAnsi="微软雅黑" w:eastAsia="微软雅黑" w:cs="Times New Roman"/>
          <w:b/>
          <w:color w:val="CC9900"/>
          <w:sz w:val="28"/>
        </w:rPr>
        <w:t>】</w:t>
      </w:r>
    </w:p>
    <w:p>
      <w:pPr>
        <w:pStyle w:val="9"/>
        <w:numPr>
          <w:ilvl w:val="0"/>
          <w:numId w:val="0"/>
        </w:numPr>
        <w:jc w:val="center"/>
        <w:rPr>
          <w:rFonts w:hint="eastAsia" w:ascii="微软雅黑" w:hAnsi="微软雅黑" w:eastAsia="微软雅黑" w:cs="Times New Roman"/>
          <w:b/>
          <w:bCs/>
          <w:color w:val="000000" w:themeColor="text1"/>
          <w:sz w:val="22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189865</wp:posOffset>
                </wp:positionV>
                <wp:extent cx="282575" cy="5715"/>
                <wp:effectExtent l="0" t="47625" r="9525" b="4826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00225" y="4295775"/>
                          <a:ext cx="282575" cy="57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9.4pt;margin-top:14.95pt;height:0.45pt;width:22.25pt;z-index:251664384;mso-width-relative:page;mso-height-relative:page;" filled="f" stroked="t" coordsize="21600,21600" o:gfxdata="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+5o2f2AAAAAkBAAAPAAAAAAAAAAEAIAAAACIA&#10;AABkcnMvZG93bnJldi54bWxQSwECFAAUAAAACACHTuJAopRV9QkCAAC6AwAADgAAAAAAAAABACAA&#10;AAAnAQAAZHJzL2Uyb0RvYy54bWxQSwUGAAAAAAYABgBZAQAAog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211455</wp:posOffset>
                </wp:positionV>
                <wp:extent cx="282575" cy="5715"/>
                <wp:effectExtent l="0" t="47625" r="9525" b="4826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575" cy="57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02pt;margin-top:16.65pt;height:0.45pt;width:22.25pt;z-index:251700224;mso-width-relative:page;mso-height-relative:page;" filled="f" stroked="t" coordsize="21600,21600" o:gfxdata="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zJMg9kAAAAJAQAADwAAAAAAAAABACAAAAAiAAAAZHJzL2Rvd25yZXYu&#10;eG1sUEsBAhQAFAAAAAgAh07iQPwY0DD6AQAArgMAAA4AAAAAAAAAAQAgAAAAKAEAAGRycy9lMm9E&#10;b2MueG1sUEsFBgAAAAAGAAYAWQEAAJQ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206375</wp:posOffset>
                </wp:positionV>
                <wp:extent cx="282575" cy="5715"/>
                <wp:effectExtent l="0" t="47625" r="9525" b="4826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575" cy="57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0.65pt;margin-top:16.25pt;height:0.45pt;width:22.25pt;z-index:251685888;mso-width-relative:page;mso-height-relative:page;" filled="f" stroked="t" coordsize="21600,21600" o:gfxdata="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wSKaW2AAAAAkBAAAPAAAAAAAAAAEAIAAAACIAAABkcnMvZG93bnJldi54&#10;bWxQSwECFAAUAAAACACHTuJANzUNhvoBAACuAwAADgAAAAAAAAABACAAAAAnAQAAZHJzL2Uyb0Rv&#10;Yy54bWxQSwUGAAAAAAYABgBZAQAAkw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215265</wp:posOffset>
                </wp:positionV>
                <wp:extent cx="282575" cy="5715"/>
                <wp:effectExtent l="0" t="47625" r="9525" b="4826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575" cy="57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7.3pt;margin-top:16.95pt;height:0.45pt;width:22.25pt;z-index:251671552;mso-width-relative:page;mso-height-relative:page;" filled="f" stroked="t" coordsize="21600,21600" o:gfxdata="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0ZdYzZAAAACQEAAA8AAAAAAAAAAQAgAAAAIgAAAGRycy9kb3ducmV2&#10;LnhtbFBLAQIUABQAAAAIAIdO4kAHmSkM+wEAAK4DAAAOAAAAAAAAAAEAIAAAACgBAABkcnMvZTJv&#10;RG9jLnhtbFBLBQYAAAAABgAGAFkBAACV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Times New Roman"/>
          <w:b/>
          <w:bCs/>
          <w:color w:val="000000" w:themeColor="text1"/>
          <w:sz w:val="22"/>
          <w:szCs w:val="20"/>
          <w:lang w:val="en-US" w:eastAsia="zh-CN"/>
          <w14:textFill>
            <w14:solidFill>
              <w14:schemeClr w14:val="tx1"/>
            </w14:solidFill>
          </w14:textFill>
        </w:rPr>
        <w:t>产融战略思维     市场展望政策导向     金融分析工具     资本运作路径     企业实操辅导</w:t>
      </w:r>
    </w:p>
    <w:p>
      <w:pP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</w:p>
    <w:p>
      <w:pPr>
        <w:rPr>
          <w:rFonts w:hint="eastAsia" w:ascii="微软雅黑" w:hAnsi="微软雅黑" w:eastAsia="微软雅黑" w:cs="Times New Roman"/>
          <w:b/>
          <w:color w:val="CC9900"/>
          <w:sz w:val="28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微软雅黑" w:hAnsi="微软雅黑" w:eastAsia="微软雅黑" w:cs="Times New Roman"/>
          <w:b/>
          <w:color w:val="CC9900"/>
          <w:sz w:val="28"/>
        </w:rPr>
        <w:t>【课程规划】</w:t>
      </w:r>
    </w:p>
    <w:p>
      <w:pPr>
        <w:pStyle w:val="9"/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bookmarkStart w:id="1" w:name="_Hlk504124193"/>
      <w:bookmarkStart w:id="2" w:name="_Hlk504124488"/>
      <w:r>
        <w:rPr>
          <w:rFonts w:hint="eastAsia" w:ascii="宋体" w:hAnsi="宋体" w:eastAsia="宋体" w:cs="宋体"/>
          <w:sz w:val="24"/>
          <w:szCs w:val="24"/>
        </w:rPr>
        <w:t>学制：课程</w:t>
      </w:r>
      <w:bookmarkEnd w:id="1"/>
      <w:r>
        <w:rPr>
          <w:rFonts w:hint="eastAsia" w:ascii="宋体" w:hAnsi="宋体" w:eastAsia="宋体" w:cs="宋体"/>
          <w:sz w:val="24"/>
          <w:szCs w:val="24"/>
        </w:rPr>
        <w:t>学制</w:t>
      </w:r>
      <w:bookmarkEnd w:id="2"/>
      <w:r>
        <w:rPr>
          <w:rFonts w:hint="eastAsia" w:ascii="宋体" w:hAnsi="宋体" w:eastAsia="宋体" w:cs="宋体"/>
          <w:sz w:val="24"/>
          <w:szCs w:val="24"/>
        </w:rPr>
        <w:t>1年，每个月集中授课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2-3</w:t>
      </w:r>
      <w:r>
        <w:rPr>
          <w:rFonts w:hint="eastAsia" w:ascii="宋体" w:hAnsi="宋体" w:eastAsia="宋体" w:cs="宋体"/>
          <w:sz w:val="24"/>
          <w:szCs w:val="24"/>
        </w:rPr>
        <w:t>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共计10次课程。</w:t>
      </w:r>
    </w:p>
    <w:p>
      <w:pPr>
        <w:pStyle w:val="9"/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课程方式：面授＋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课堂，学习小组＋作业，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参访沙龙</w:t>
      </w:r>
      <w:r>
        <w:rPr>
          <w:rFonts w:hint="eastAsia" w:ascii="宋体" w:hAnsi="宋体" w:eastAsia="宋体" w:cs="宋体"/>
          <w:sz w:val="24"/>
          <w:szCs w:val="24"/>
        </w:rPr>
        <w:t>＋行业论坛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毕业论文</w:t>
      </w:r>
    </w:p>
    <w:p>
      <w:pPr>
        <w:pStyle w:val="9"/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课程活动：行业论坛、商务参访、项目路演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所有班级依据“独立教学，综合活动”的理念，分别开展理论教学，共同参加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访学</w:t>
      </w:r>
      <w:r>
        <w:rPr>
          <w:rFonts w:hint="eastAsia" w:ascii="宋体" w:hAnsi="宋体" w:eastAsia="宋体" w:cs="宋体"/>
          <w:sz w:val="24"/>
          <w:szCs w:val="24"/>
        </w:rPr>
        <w:t>活动，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实现</w:t>
      </w:r>
      <w:r>
        <w:rPr>
          <w:rFonts w:hint="eastAsia" w:ascii="宋体" w:hAnsi="宋体" w:eastAsia="宋体" w:cs="宋体"/>
          <w:sz w:val="24"/>
          <w:szCs w:val="24"/>
        </w:rPr>
        <w:t>深度学习及资源交流</w:t>
      </w:r>
    </w:p>
    <w:p>
      <w:pPr>
        <w:pStyle w:val="9"/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学费：10万 (含1年的教学,教材资料不含学习及访学产生的食宿交通游览费用）</w:t>
      </w:r>
    </w:p>
    <w:p>
      <w:pPr>
        <w:spacing w:line="360" w:lineRule="auto"/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color w:val="CC9900"/>
          <w:sz w:val="28"/>
          <w:lang w:val="en-US" w:eastAsia="zh-CN"/>
        </w:rPr>
        <w:t>【课程收益】</w:t>
      </w:r>
    </w:p>
    <w:p>
      <w:pPr>
        <w:spacing w:line="360" w:lineRule="auto"/>
        <w:ind w:firstLine="843" w:firstLineChars="300"/>
        <w:rPr>
          <w:rFonts w:hint="eastAsia" w:ascii="宋体" w:hAnsi="宋体" w:eastAsia="宋体" w:cs="宋体"/>
          <w:b/>
          <w:bCs/>
          <w:color w:val="CC99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CC9900"/>
          <w:sz w:val="28"/>
          <w:szCs w:val="28"/>
        </w:rPr>
        <w:t>突破思维</w:t>
      </w:r>
    </w:p>
    <w:p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最具价值的“北大顶级明星导师团队”，小班授课，保证教学质量；大班活动，融汇资源交流。引入顶级智库研究院前沿学术成果，纵览全球金融视野，打造浸润式课堂。通过</w:t>
      </w:r>
      <w:r>
        <w:rPr>
          <w:rFonts w:hint="eastAsia" w:ascii="宋体" w:hAnsi="宋体" w:eastAsia="宋体" w:cs="宋体"/>
          <w:sz w:val="24"/>
          <w:szCs w:val="24"/>
        </w:rPr>
        <w:t>线下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精品小组合作式研习、线上小组专题案例直播及学习互动社群多种形式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在纵向深度学习中更新迭代知识体系，</w:t>
      </w:r>
      <w:r>
        <w:rPr>
          <w:rFonts w:hint="eastAsia" w:ascii="宋体" w:hAnsi="宋体" w:eastAsia="宋体" w:cs="宋体"/>
          <w:sz w:val="24"/>
          <w:szCs w:val="24"/>
        </w:rPr>
        <w:t>提高知识提升和整合效率，透彻认知企业持续发展与产融结合关键机制。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843" w:firstLineChars="300"/>
        <w:rPr>
          <w:rFonts w:hint="eastAsia" w:ascii="宋体" w:hAnsi="宋体" w:eastAsia="宋体" w:cs="宋体"/>
          <w:b/>
          <w:bCs/>
          <w:color w:val="CC9900"/>
          <w:sz w:val="28"/>
          <w:szCs w:val="28"/>
        </w:rPr>
      </w:pPr>
    </w:p>
    <w:p>
      <w:pPr>
        <w:spacing w:line="360" w:lineRule="auto"/>
        <w:ind w:firstLine="843" w:firstLineChars="300"/>
        <w:rPr>
          <w:rFonts w:hint="eastAsia" w:ascii="宋体" w:hAnsi="宋体" w:eastAsia="宋体" w:cs="宋体"/>
          <w:b/>
          <w:bCs/>
          <w:color w:val="CC99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CC9900"/>
          <w:sz w:val="28"/>
          <w:szCs w:val="28"/>
        </w:rPr>
        <w:t>洞悉趋势</w:t>
      </w:r>
    </w:p>
    <w:p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依托北京大学、清华大学等顶级名校政经学者、专家、大师资源，从传统与前沿国内与国际、现状与趋势等多维角度,洞悉中国金融体系政策导向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现状与创新格局走向，抓住新常态下的企业发展与转型新机遇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843" w:firstLineChars="300"/>
        <w:rPr>
          <w:rFonts w:hint="eastAsia" w:ascii="宋体" w:hAnsi="宋体" w:eastAsia="宋体" w:cs="宋体"/>
          <w:b/>
          <w:bCs/>
          <w:color w:val="CC99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CC9900"/>
          <w:sz w:val="28"/>
          <w:szCs w:val="28"/>
          <w:lang w:val="en-US" w:eastAsia="zh-CN"/>
        </w:rPr>
        <w:t>实战赋能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商业领袖、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实战派高层管理者</w:t>
      </w:r>
      <w:r>
        <w:rPr>
          <w:rFonts w:hint="eastAsia" w:ascii="宋体" w:hAnsi="宋体" w:eastAsia="宋体" w:cs="宋体"/>
          <w:sz w:val="24"/>
          <w:szCs w:val="24"/>
        </w:rPr>
        <w:t>亲临论道，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精品小组合作式研习</w:t>
      </w:r>
      <w:r>
        <w:rPr>
          <w:rFonts w:hint="eastAsia" w:ascii="宋体" w:hAnsi="宋体" w:eastAsia="宋体" w:cs="宋体"/>
          <w:sz w:val="24"/>
          <w:szCs w:val="24"/>
        </w:rPr>
        <w:t>，对标行业标杆，借鉴先进企业案例，以痛点为核心为企业量身定制商业模式进化创新方案，创建成体系、可落地的成长模型。</w:t>
      </w:r>
    </w:p>
    <w:p>
      <w:pPr>
        <w:spacing w:line="360" w:lineRule="auto"/>
        <w:ind w:firstLine="843" w:firstLineChars="300"/>
        <w:rPr>
          <w:rFonts w:hint="eastAsia" w:ascii="宋体" w:hAnsi="宋体" w:eastAsia="宋体" w:cs="宋体"/>
          <w:b/>
          <w:bCs/>
          <w:color w:val="CC99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C9900"/>
          <w:sz w:val="28"/>
          <w:szCs w:val="28"/>
          <w:lang w:val="en-US" w:eastAsia="zh-CN"/>
        </w:rPr>
        <w:t>融合跨界</w:t>
      </w:r>
    </w:p>
    <w:p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学员需求为驱动，以新科技和新平台为依托，平台高端论坛、国内外访学多元生态圈高频次跨界对话，着眼金融前沿，在横向多维模式碰撞中将企业现有产业领域和要素资源，融合或裂变，整合利用到一起，把握跨界融合产业升级的大趋势，赢得产业升级的先机和主动。</w:t>
      </w:r>
    </w:p>
    <w:p>
      <w:pPr>
        <w:spacing w:line="360" w:lineRule="auto"/>
        <w:ind w:firstLine="843" w:firstLineChars="300"/>
        <w:rPr>
          <w:rFonts w:hint="eastAsia" w:ascii="宋体" w:hAnsi="宋体" w:eastAsia="宋体" w:cs="宋体"/>
          <w:b/>
          <w:bCs/>
          <w:color w:val="CC99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C9900"/>
          <w:sz w:val="28"/>
          <w:szCs w:val="28"/>
          <w:lang w:val="en-US" w:eastAsia="zh-CN"/>
        </w:rPr>
        <w:t>资本生态</w:t>
      </w:r>
    </w:p>
    <w:p>
      <w:pPr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汇聚</w:t>
      </w:r>
      <w:r>
        <w:rPr>
          <w:rFonts w:hint="eastAsia" w:ascii="宋体" w:hAnsi="宋体" w:eastAsia="宋体" w:cs="宋体"/>
          <w:sz w:val="24"/>
          <w:szCs w:val="24"/>
        </w:rPr>
        <w:t>国内国际顶级投资机构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投资人、导师、校友、学员及各界合作伙伴</w:t>
      </w:r>
      <w:r>
        <w:rPr>
          <w:rFonts w:hint="eastAsia" w:ascii="宋体" w:hAnsi="宋体" w:eastAsia="宋体" w:cs="宋体"/>
          <w:sz w:val="24"/>
          <w:szCs w:val="24"/>
        </w:rPr>
        <w:t>，协助企业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领导者</w:t>
      </w:r>
      <w:r>
        <w:rPr>
          <w:rFonts w:hint="eastAsia" w:ascii="宋体" w:hAnsi="宋体" w:eastAsia="宋体" w:cs="宋体"/>
          <w:sz w:val="24"/>
          <w:szCs w:val="24"/>
        </w:rPr>
        <w:t>运用资本工具实现与金融机构深入合作，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建立广阔资本圈层，</w:t>
      </w:r>
      <w:r>
        <w:rPr>
          <w:rFonts w:hint="eastAsia" w:ascii="宋体" w:hAnsi="宋体" w:eastAsia="宋体" w:cs="宋体"/>
          <w:sz w:val="24"/>
          <w:szCs w:val="24"/>
        </w:rPr>
        <w:t>实现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</w:t>
      </w:r>
      <w:r>
        <w:rPr>
          <w:rFonts w:hint="eastAsia" w:ascii="宋体" w:hAnsi="宋体" w:eastAsia="宋体" w:cs="宋体"/>
          <w:sz w:val="24"/>
          <w:szCs w:val="24"/>
        </w:rPr>
        <w:t>股权型关系转型变革，高效、准确获取自身发展所需能量。</w:t>
      </w:r>
    </w:p>
    <w:p>
      <w:pPr>
        <w:jc w:val="both"/>
        <w:rPr>
          <w:rFonts w:hint="eastAsia" w:eastAsiaTheme="minor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........................................................................................................北清智库商学院.金融中心...............................................................................................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444625" cy="238125"/>
          <wp:effectExtent l="0" t="0" r="3175" b="3175"/>
          <wp:docPr id="5" name="图片 5" descr="PNG左右组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PNG左右组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0634A"/>
    <w:multiLevelType w:val="singleLevel"/>
    <w:tmpl w:val="473063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C27"/>
    <w:rsid w:val="000E2DE7"/>
    <w:rsid w:val="001103BC"/>
    <w:rsid w:val="0020266E"/>
    <w:rsid w:val="002757F5"/>
    <w:rsid w:val="00294447"/>
    <w:rsid w:val="004D5251"/>
    <w:rsid w:val="005E1596"/>
    <w:rsid w:val="006403A6"/>
    <w:rsid w:val="00764CF9"/>
    <w:rsid w:val="00774785"/>
    <w:rsid w:val="007D0EA6"/>
    <w:rsid w:val="00822E56"/>
    <w:rsid w:val="0084496D"/>
    <w:rsid w:val="008C2FCE"/>
    <w:rsid w:val="0097645C"/>
    <w:rsid w:val="00986854"/>
    <w:rsid w:val="009F5149"/>
    <w:rsid w:val="009F5FE0"/>
    <w:rsid w:val="00A26A85"/>
    <w:rsid w:val="00A468F3"/>
    <w:rsid w:val="00AF63D9"/>
    <w:rsid w:val="00BA42A5"/>
    <w:rsid w:val="00C22B6F"/>
    <w:rsid w:val="00D44813"/>
    <w:rsid w:val="00DB1D41"/>
    <w:rsid w:val="00DB7637"/>
    <w:rsid w:val="00DE6DD8"/>
    <w:rsid w:val="00E26C27"/>
    <w:rsid w:val="00FE3113"/>
    <w:rsid w:val="01001FA2"/>
    <w:rsid w:val="01306763"/>
    <w:rsid w:val="02365067"/>
    <w:rsid w:val="0393450A"/>
    <w:rsid w:val="03CC526B"/>
    <w:rsid w:val="04564737"/>
    <w:rsid w:val="05252AAB"/>
    <w:rsid w:val="062449E3"/>
    <w:rsid w:val="06476A9E"/>
    <w:rsid w:val="06CD0784"/>
    <w:rsid w:val="0B0A09B7"/>
    <w:rsid w:val="0B213E09"/>
    <w:rsid w:val="0BFC5648"/>
    <w:rsid w:val="0C1C098B"/>
    <w:rsid w:val="0C3F0016"/>
    <w:rsid w:val="0C756F45"/>
    <w:rsid w:val="0CAE4C10"/>
    <w:rsid w:val="0CE04332"/>
    <w:rsid w:val="0D1157F4"/>
    <w:rsid w:val="0D1D2206"/>
    <w:rsid w:val="0D6E465A"/>
    <w:rsid w:val="0D852AC1"/>
    <w:rsid w:val="0DC545F6"/>
    <w:rsid w:val="0FBB7C67"/>
    <w:rsid w:val="10733613"/>
    <w:rsid w:val="10BE3F7B"/>
    <w:rsid w:val="11227B07"/>
    <w:rsid w:val="12923867"/>
    <w:rsid w:val="129314A0"/>
    <w:rsid w:val="12FF5CA5"/>
    <w:rsid w:val="13EA1D3D"/>
    <w:rsid w:val="147A54D6"/>
    <w:rsid w:val="14BD15A9"/>
    <w:rsid w:val="168D4F43"/>
    <w:rsid w:val="16956B32"/>
    <w:rsid w:val="171D14F7"/>
    <w:rsid w:val="17447356"/>
    <w:rsid w:val="18A0375C"/>
    <w:rsid w:val="19505F32"/>
    <w:rsid w:val="19B84650"/>
    <w:rsid w:val="1CA317D5"/>
    <w:rsid w:val="1D107750"/>
    <w:rsid w:val="1E11158B"/>
    <w:rsid w:val="21615F74"/>
    <w:rsid w:val="22FC74B4"/>
    <w:rsid w:val="237100EE"/>
    <w:rsid w:val="269C1DAC"/>
    <w:rsid w:val="26DB783E"/>
    <w:rsid w:val="27EF7643"/>
    <w:rsid w:val="28B33B85"/>
    <w:rsid w:val="2935433A"/>
    <w:rsid w:val="2A861C41"/>
    <w:rsid w:val="2B4742E5"/>
    <w:rsid w:val="2E5F3144"/>
    <w:rsid w:val="2F0C5CF9"/>
    <w:rsid w:val="2F3469C2"/>
    <w:rsid w:val="2FA1150C"/>
    <w:rsid w:val="30191D00"/>
    <w:rsid w:val="3029369C"/>
    <w:rsid w:val="305E641F"/>
    <w:rsid w:val="30D125E4"/>
    <w:rsid w:val="33034F97"/>
    <w:rsid w:val="33275F27"/>
    <w:rsid w:val="333414D6"/>
    <w:rsid w:val="339C71F9"/>
    <w:rsid w:val="33F06797"/>
    <w:rsid w:val="34E55787"/>
    <w:rsid w:val="35AA5D93"/>
    <w:rsid w:val="35B40387"/>
    <w:rsid w:val="36395544"/>
    <w:rsid w:val="36D05022"/>
    <w:rsid w:val="36FF0760"/>
    <w:rsid w:val="374E0D7B"/>
    <w:rsid w:val="37711800"/>
    <w:rsid w:val="378306E1"/>
    <w:rsid w:val="37BA12F2"/>
    <w:rsid w:val="37C933FF"/>
    <w:rsid w:val="38277E86"/>
    <w:rsid w:val="388B1EA0"/>
    <w:rsid w:val="38CB3E47"/>
    <w:rsid w:val="38E047E4"/>
    <w:rsid w:val="3A8B13C6"/>
    <w:rsid w:val="3AF23F27"/>
    <w:rsid w:val="3BAE5072"/>
    <w:rsid w:val="3CF17CD3"/>
    <w:rsid w:val="3CFA4CD1"/>
    <w:rsid w:val="3FB1645E"/>
    <w:rsid w:val="3FCC7DE8"/>
    <w:rsid w:val="408858F9"/>
    <w:rsid w:val="40E0283E"/>
    <w:rsid w:val="41B73E8A"/>
    <w:rsid w:val="458539DB"/>
    <w:rsid w:val="45AC209E"/>
    <w:rsid w:val="45B76B7B"/>
    <w:rsid w:val="45D0178B"/>
    <w:rsid w:val="46D948ED"/>
    <w:rsid w:val="48237825"/>
    <w:rsid w:val="4A3D75BC"/>
    <w:rsid w:val="4AC76680"/>
    <w:rsid w:val="4DC3266D"/>
    <w:rsid w:val="4E471A10"/>
    <w:rsid w:val="4EDB0E45"/>
    <w:rsid w:val="4F553C95"/>
    <w:rsid w:val="4FC90B96"/>
    <w:rsid w:val="51421F4B"/>
    <w:rsid w:val="514E0F8C"/>
    <w:rsid w:val="51A25697"/>
    <w:rsid w:val="52257EE7"/>
    <w:rsid w:val="52C945F8"/>
    <w:rsid w:val="534F41CF"/>
    <w:rsid w:val="543079CB"/>
    <w:rsid w:val="56227CAE"/>
    <w:rsid w:val="565E4D8E"/>
    <w:rsid w:val="56FB741E"/>
    <w:rsid w:val="58ED0573"/>
    <w:rsid w:val="5AF346A9"/>
    <w:rsid w:val="5C511376"/>
    <w:rsid w:val="5CA33781"/>
    <w:rsid w:val="5CAB3725"/>
    <w:rsid w:val="5D094C4B"/>
    <w:rsid w:val="5D7A35A4"/>
    <w:rsid w:val="5E0A1445"/>
    <w:rsid w:val="621D5744"/>
    <w:rsid w:val="628006C6"/>
    <w:rsid w:val="63110F03"/>
    <w:rsid w:val="637707A3"/>
    <w:rsid w:val="63B41651"/>
    <w:rsid w:val="63E56F0E"/>
    <w:rsid w:val="64122F08"/>
    <w:rsid w:val="645B31C9"/>
    <w:rsid w:val="65A14D98"/>
    <w:rsid w:val="660C6892"/>
    <w:rsid w:val="668B74ED"/>
    <w:rsid w:val="675937ED"/>
    <w:rsid w:val="67A626E8"/>
    <w:rsid w:val="67F12037"/>
    <w:rsid w:val="698A066E"/>
    <w:rsid w:val="69CD3AD5"/>
    <w:rsid w:val="69EB67FB"/>
    <w:rsid w:val="6A9B0EC0"/>
    <w:rsid w:val="6C3C1B9E"/>
    <w:rsid w:val="6C6366D4"/>
    <w:rsid w:val="6D42708F"/>
    <w:rsid w:val="6E7D05D1"/>
    <w:rsid w:val="6F8C629F"/>
    <w:rsid w:val="6FAF5759"/>
    <w:rsid w:val="6FF71F28"/>
    <w:rsid w:val="71955818"/>
    <w:rsid w:val="72F45ACD"/>
    <w:rsid w:val="7302416E"/>
    <w:rsid w:val="730D6D89"/>
    <w:rsid w:val="77F05515"/>
    <w:rsid w:val="77FD36FF"/>
    <w:rsid w:val="796355AC"/>
    <w:rsid w:val="797A5619"/>
    <w:rsid w:val="79F136AF"/>
    <w:rsid w:val="7ABF2721"/>
    <w:rsid w:val="7E00549F"/>
    <w:rsid w:val="7E626D6D"/>
    <w:rsid w:val="7EAC2F0A"/>
    <w:rsid w:val="7F5F6545"/>
    <w:rsid w:val="7F6C0493"/>
    <w:rsid w:val="7FDE1F45"/>
    <w:rsid w:val="7FEA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8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Layout w:type="fixed"/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styleId="9">
    <w:name w:val="List Paragraph"/>
    <w:basedOn w:val="1"/>
    <w:qFormat/>
    <w:uiPriority w:val="34"/>
    <w:pPr>
      <w:ind w:firstLine="420" w:firstLineChars="200"/>
    </w:pPr>
    <w:rPr>
      <w:sz w:val="21"/>
      <w:szCs w:val="22"/>
    </w:rPr>
  </w:style>
  <w:style w:type="table" w:customStyle="1" w:styleId="10">
    <w:name w:val="网格型2"/>
    <w:basedOn w:val="6"/>
    <w:qFormat/>
    <w:uiPriority w:val="39"/>
    <w:rPr>
      <w:kern w:val="0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5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B7BB5F-E502-4F42-AF00-8A7CAD57F2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2576</Words>
  <Characters>2629</Characters>
  <Lines>16</Lines>
  <Paragraphs>4</Paragraphs>
  <TotalTime>19</TotalTime>
  <ScaleCrop>false</ScaleCrop>
  <LinksUpToDate>false</LinksUpToDate>
  <CharactersWithSpaces>2670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2018-02-24T12:29:00Z</dcterms:created>
  <dc:creator>bqceo</dc:creator>
  <cp:lastModifiedBy>云水禅心</cp:lastModifiedBy>
  <cp:lastPrinted>2018-04-25T02:38:00Z</cp:lastPrinted>
  <dcterms:modified xsi:type="dcterms:W3CDTF">2018-06-15T07:06:18Z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KSORubyTemplateID" linkTarget="0">
    <vt:lpwstr>6</vt:lpwstr>
  </property>
</Properties>
</file>